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A51A4" w14:textId="17D60C98" w:rsidR="00D26AC0" w:rsidRPr="00967025" w:rsidRDefault="00112C44" w:rsidP="004F6D21">
      <w:pPr>
        <w:spacing w:line="360" w:lineRule="auto"/>
        <w:ind w:right="-432"/>
        <w:rPr>
          <w:rFonts w:ascii="Times New Roman" w:hAnsi="Times New Roman" w:cs="Times New Roman"/>
          <w:b/>
        </w:rPr>
      </w:pPr>
      <w:r w:rsidRPr="00967025">
        <w:rPr>
          <w:rFonts w:ascii="Times New Roman" w:hAnsi="Times New Roman" w:cs="Times New Roman"/>
          <w:b/>
        </w:rPr>
        <w:t xml:space="preserve">Transitional Spaces in Architecture and Psychoanalysis: </w:t>
      </w:r>
      <w:r w:rsidR="00D26AC0" w:rsidRPr="00967025">
        <w:rPr>
          <w:rFonts w:ascii="Times New Roman" w:hAnsi="Times New Roman" w:cs="Times New Roman"/>
          <w:b/>
        </w:rPr>
        <w:t>The Setting and the Social Condenser</w:t>
      </w:r>
    </w:p>
    <w:p w14:paraId="6F0AD445" w14:textId="42B3673B" w:rsidR="00D26AC0" w:rsidRPr="00967025" w:rsidRDefault="00D26AC0" w:rsidP="004F6D21">
      <w:pPr>
        <w:spacing w:line="360" w:lineRule="auto"/>
        <w:ind w:right="-432"/>
        <w:rPr>
          <w:rFonts w:ascii="Times New Roman" w:hAnsi="Times New Roman" w:cs="Times New Roman"/>
          <w:b/>
        </w:rPr>
      </w:pPr>
      <w:r w:rsidRPr="00967025">
        <w:rPr>
          <w:rFonts w:ascii="Times New Roman" w:hAnsi="Times New Roman" w:cs="Times New Roman"/>
          <w:b/>
        </w:rPr>
        <w:t>Jane Rendell</w:t>
      </w:r>
      <w:r w:rsidR="00967025" w:rsidRPr="00967025">
        <w:rPr>
          <w:rFonts w:ascii="Times New Roman" w:hAnsi="Times New Roman" w:cs="Times New Roman"/>
          <w:b/>
        </w:rPr>
        <w:t xml:space="preserve"> </w:t>
      </w:r>
      <w:r w:rsidR="00967025" w:rsidRPr="00967025">
        <w:rPr>
          <w:rStyle w:val="FootnoteReference"/>
          <w:rFonts w:ascii="Times New Roman" w:hAnsi="Times New Roman" w:cs="Times New Roman"/>
          <w:b/>
        </w:rPr>
        <w:footnoteReference w:id="1"/>
      </w:r>
    </w:p>
    <w:p w14:paraId="0D7E5727" w14:textId="77777777" w:rsidR="00D26AC0" w:rsidRPr="00967025" w:rsidRDefault="00D26AC0" w:rsidP="004F6D21">
      <w:pPr>
        <w:spacing w:line="360" w:lineRule="auto"/>
        <w:ind w:right="-432"/>
        <w:rPr>
          <w:rFonts w:ascii="Times New Roman" w:hAnsi="Times New Roman" w:cs="Times New Roman"/>
        </w:rPr>
      </w:pPr>
    </w:p>
    <w:p w14:paraId="0AFC2362" w14:textId="003F4F69" w:rsidR="00205582" w:rsidRPr="00967025" w:rsidRDefault="004222B3" w:rsidP="006809C7">
      <w:pPr>
        <w:spacing w:line="360" w:lineRule="auto"/>
        <w:ind w:right="-432"/>
        <w:rPr>
          <w:rFonts w:ascii="Times New Roman" w:hAnsi="Times New Roman" w:cs="Times New Roman"/>
        </w:rPr>
      </w:pPr>
      <w:r w:rsidRPr="00967025">
        <w:rPr>
          <w:rFonts w:ascii="Times New Roman" w:hAnsi="Times New Roman" w:cs="Times New Roman"/>
        </w:rPr>
        <w:t>My</w:t>
      </w:r>
      <w:r w:rsidR="004776A8" w:rsidRPr="00967025">
        <w:rPr>
          <w:rFonts w:ascii="Times New Roman" w:hAnsi="Times New Roman" w:cs="Times New Roman"/>
        </w:rPr>
        <w:t xml:space="preserve"> </w:t>
      </w:r>
      <w:r w:rsidR="00D26AC0" w:rsidRPr="00967025">
        <w:rPr>
          <w:rFonts w:ascii="Times New Roman" w:hAnsi="Times New Roman" w:cs="Times New Roman"/>
        </w:rPr>
        <w:t>talk</w:t>
      </w:r>
      <w:r w:rsidR="004776A8" w:rsidRPr="00967025">
        <w:rPr>
          <w:rFonts w:ascii="Times New Roman" w:hAnsi="Times New Roman" w:cs="Times New Roman"/>
        </w:rPr>
        <w:t xml:space="preserve"> </w:t>
      </w:r>
      <w:r w:rsidRPr="00967025">
        <w:rPr>
          <w:rFonts w:ascii="Times New Roman" w:hAnsi="Times New Roman" w:cs="Times New Roman"/>
        </w:rPr>
        <w:t xml:space="preserve">today </w:t>
      </w:r>
      <w:r w:rsidR="00A861A6" w:rsidRPr="00967025">
        <w:rPr>
          <w:rFonts w:ascii="Times New Roman" w:hAnsi="Times New Roman" w:cs="Times New Roman"/>
        </w:rPr>
        <w:t>focuses on ‘</w:t>
      </w:r>
      <w:r w:rsidR="00357B61" w:rsidRPr="00967025">
        <w:rPr>
          <w:rFonts w:ascii="Times New Roman" w:hAnsi="Times New Roman" w:cs="Times New Roman"/>
        </w:rPr>
        <w:t xml:space="preserve">transitional’ objects </w:t>
      </w:r>
      <w:r w:rsidR="004F6D21" w:rsidRPr="00967025">
        <w:rPr>
          <w:rFonts w:ascii="Times New Roman" w:hAnsi="Times New Roman" w:cs="Times New Roman"/>
        </w:rPr>
        <w:t xml:space="preserve">and spaces </w:t>
      </w:r>
      <w:r w:rsidR="00357B61" w:rsidRPr="00967025">
        <w:rPr>
          <w:rFonts w:ascii="Times New Roman" w:hAnsi="Times New Roman" w:cs="Times New Roman"/>
        </w:rPr>
        <w:t>– </w:t>
      </w:r>
      <w:r w:rsidR="0073220E" w:rsidRPr="00967025">
        <w:rPr>
          <w:rFonts w:ascii="Times New Roman" w:hAnsi="Times New Roman" w:cs="Times New Roman"/>
        </w:rPr>
        <w:t xml:space="preserve">those </w:t>
      </w:r>
      <w:r w:rsidR="004776A8" w:rsidRPr="00967025">
        <w:rPr>
          <w:rFonts w:ascii="Times New Roman" w:hAnsi="Times New Roman" w:cs="Times New Roman"/>
        </w:rPr>
        <w:t xml:space="preserve">located </w:t>
      </w:r>
      <w:r w:rsidR="004F6D21" w:rsidRPr="00967025">
        <w:rPr>
          <w:rFonts w:ascii="Times New Roman" w:hAnsi="Times New Roman" w:cs="Times New Roman"/>
        </w:rPr>
        <w:t xml:space="preserve">in the overlap </w:t>
      </w:r>
      <w:r w:rsidR="00357B61" w:rsidRPr="00967025">
        <w:rPr>
          <w:rFonts w:ascii="Times New Roman" w:hAnsi="Times New Roman" w:cs="Times New Roman"/>
        </w:rPr>
        <w:t>between inside and outside</w:t>
      </w:r>
      <w:r w:rsidR="0073220E" w:rsidRPr="00967025">
        <w:rPr>
          <w:rFonts w:ascii="Times New Roman" w:hAnsi="Times New Roman" w:cs="Times New Roman"/>
        </w:rPr>
        <w:t>/private and public</w:t>
      </w:r>
      <w:r w:rsidR="00357B61" w:rsidRPr="00967025">
        <w:rPr>
          <w:rFonts w:ascii="Times New Roman" w:hAnsi="Times New Roman" w:cs="Times New Roman"/>
        </w:rPr>
        <w:t xml:space="preserve">. I </w:t>
      </w:r>
      <w:r w:rsidR="004F6D21" w:rsidRPr="00967025">
        <w:rPr>
          <w:rFonts w:ascii="Times New Roman" w:hAnsi="Times New Roman" w:cs="Times New Roman"/>
        </w:rPr>
        <w:t xml:space="preserve">position </w:t>
      </w:r>
      <w:r w:rsidR="004776A8" w:rsidRPr="00967025">
        <w:rPr>
          <w:rFonts w:ascii="Times New Roman" w:hAnsi="Times New Roman" w:cs="Times New Roman"/>
        </w:rPr>
        <w:t>next to one another</w:t>
      </w:r>
      <w:r w:rsidR="000F7C73" w:rsidRPr="00967025">
        <w:rPr>
          <w:rFonts w:ascii="Times New Roman" w:hAnsi="Times New Roman" w:cs="Times New Roman"/>
        </w:rPr>
        <w:t xml:space="preserve"> </w:t>
      </w:r>
      <w:r w:rsidR="00357B61" w:rsidRPr="00967025">
        <w:rPr>
          <w:rFonts w:ascii="Times New Roman" w:hAnsi="Times New Roman" w:cs="Times New Roman"/>
        </w:rPr>
        <w:t>textual accounts of</w:t>
      </w:r>
      <w:r w:rsidR="00A861A6" w:rsidRPr="00967025">
        <w:rPr>
          <w:rFonts w:ascii="Times New Roman" w:hAnsi="Times New Roman" w:cs="Times New Roman"/>
        </w:rPr>
        <w:t xml:space="preserve"> two speci</w:t>
      </w:r>
      <w:r w:rsidR="000F7C73" w:rsidRPr="00967025">
        <w:rPr>
          <w:rFonts w:ascii="Times New Roman" w:hAnsi="Times New Roman" w:cs="Times New Roman"/>
        </w:rPr>
        <w:t xml:space="preserve">fic </w:t>
      </w:r>
      <w:r w:rsidR="004F6D21" w:rsidRPr="00967025">
        <w:rPr>
          <w:rFonts w:ascii="Times New Roman" w:hAnsi="Times New Roman" w:cs="Times New Roman"/>
        </w:rPr>
        <w:t>kinds of</w:t>
      </w:r>
      <w:r w:rsidR="000F7C73" w:rsidRPr="00967025">
        <w:rPr>
          <w:rFonts w:ascii="Times New Roman" w:hAnsi="Times New Roman" w:cs="Times New Roman"/>
        </w:rPr>
        <w:t xml:space="preserve"> transitional </w:t>
      </w:r>
      <w:r w:rsidR="004F6D21" w:rsidRPr="00967025">
        <w:rPr>
          <w:rFonts w:ascii="Times New Roman" w:hAnsi="Times New Roman" w:cs="Times New Roman"/>
        </w:rPr>
        <w:t xml:space="preserve">objects and </w:t>
      </w:r>
      <w:r w:rsidR="000F7C73" w:rsidRPr="00967025">
        <w:rPr>
          <w:rFonts w:ascii="Times New Roman" w:hAnsi="Times New Roman" w:cs="Times New Roman"/>
        </w:rPr>
        <w:t>space</w:t>
      </w:r>
      <w:r w:rsidR="004F6D21" w:rsidRPr="00967025">
        <w:rPr>
          <w:rFonts w:ascii="Times New Roman" w:hAnsi="Times New Roman" w:cs="Times New Roman"/>
        </w:rPr>
        <w:t>s</w:t>
      </w:r>
      <w:r w:rsidR="000F7C73" w:rsidRPr="00967025">
        <w:rPr>
          <w:rFonts w:ascii="Times New Roman" w:hAnsi="Times New Roman" w:cs="Times New Roman"/>
        </w:rPr>
        <w:t xml:space="preserve">, </w:t>
      </w:r>
      <w:r w:rsidR="00A861A6" w:rsidRPr="00967025">
        <w:rPr>
          <w:rFonts w:ascii="Times New Roman" w:hAnsi="Times New Roman" w:cs="Times New Roman"/>
        </w:rPr>
        <w:t>the setting of psycho</w:t>
      </w:r>
      <w:r w:rsidR="00357B61" w:rsidRPr="00967025">
        <w:rPr>
          <w:rFonts w:ascii="Times New Roman" w:hAnsi="Times New Roman" w:cs="Times New Roman"/>
        </w:rPr>
        <w:t>analysis and the social condense</w:t>
      </w:r>
      <w:r w:rsidR="00A861A6" w:rsidRPr="00967025">
        <w:rPr>
          <w:rFonts w:ascii="Times New Roman" w:hAnsi="Times New Roman" w:cs="Times New Roman"/>
        </w:rPr>
        <w:t>r of architecture</w:t>
      </w:r>
      <w:r w:rsidR="00F05FF3" w:rsidRPr="00967025">
        <w:rPr>
          <w:rFonts w:ascii="Times New Roman" w:hAnsi="Times New Roman" w:cs="Times New Roman"/>
        </w:rPr>
        <w:t xml:space="preserve">, these are taken from my </w:t>
      </w:r>
      <w:r w:rsidRPr="00967025">
        <w:rPr>
          <w:rFonts w:ascii="Times New Roman" w:hAnsi="Times New Roman" w:cs="Times New Roman"/>
        </w:rPr>
        <w:t xml:space="preserve">recent </w:t>
      </w:r>
      <w:r w:rsidR="00F05FF3" w:rsidRPr="00967025">
        <w:rPr>
          <w:rFonts w:ascii="Times New Roman" w:hAnsi="Times New Roman" w:cs="Times New Roman"/>
        </w:rPr>
        <w:t>book on the subject</w:t>
      </w:r>
      <w:r w:rsidRPr="00967025">
        <w:rPr>
          <w:rFonts w:ascii="Times New Roman" w:hAnsi="Times New Roman" w:cs="Times New Roman"/>
        </w:rPr>
        <w:t>; Transitional Spaces: The Architecture of Psychoanalysis</w:t>
      </w:r>
      <w:r w:rsidR="00F05FF3" w:rsidRPr="00967025">
        <w:rPr>
          <w:rFonts w:ascii="Times New Roman" w:hAnsi="Times New Roman" w:cs="Times New Roman"/>
        </w:rPr>
        <w:t xml:space="preserve">. </w:t>
      </w:r>
    </w:p>
    <w:p w14:paraId="6227D4D7" w14:textId="77777777" w:rsidR="00F509CB" w:rsidRPr="00967025" w:rsidRDefault="00F509CB" w:rsidP="00F509CB">
      <w:pPr>
        <w:spacing w:line="360" w:lineRule="auto"/>
        <w:rPr>
          <w:rFonts w:ascii="Times New Roman" w:hAnsi="Times New Roman" w:cs="Times New Roman"/>
          <w:i/>
        </w:rPr>
      </w:pPr>
    </w:p>
    <w:p w14:paraId="2D1D1AF7" w14:textId="77777777" w:rsidR="00F509CB" w:rsidRPr="00967025" w:rsidRDefault="00F509CB" w:rsidP="00F509CB">
      <w:pPr>
        <w:spacing w:line="360" w:lineRule="auto"/>
        <w:jc w:val="center"/>
        <w:rPr>
          <w:rFonts w:ascii="Times New Roman" w:hAnsi="Times New Roman" w:cs="Times New Roman"/>
        </w:rPr>
      </w:pPr>
      <w:r w:rsidRPr="00967025">
        <w:rPr>
          <w:rFonts w:ascii="Times New Roman" w:hAnsi="Times New Roman" w:cs="Times New Roman"/>
        </w:rPr>
        <w:t>***</w:t>
      </w:r>
    </w:p>
    <w:p w14:paraId="50A04DEC" w14:textId="77777777" w:rsidR="00F509CB" w:rsidRPr="00967025" w:rsidRDefault="00F509CB" w:rsidP="000B3666">
      <w:pPr>
        <w:spacing w:line="360" w:lineRule="auto"/>
        <w:rPr>
          <w:rFonts w:ascii="Times New Roman" w:hAnsi="Times New Roman" w:cs="Times New Roman"/>
        </w:rPr>
      </w:pPr>
    </w:p>
    <w:p w14:paraId="30DA288F" w14:textId="77777777" w:rsidR="007D6B92" w:rsidRPr="00967025" w:rsidRDefault="004F11ED" w:rsidP="000B3666">
      <w:pPr>
        <w:spacing w:line="360" w:lineRule="auto"/>
        <w:rPr>
          <w:rFonts w:ascii="Times New Roman" w:hAnsi="Times New Roman" w:cs="Times New Roman"/>
        </w:rPr>
      </w:pPr>
      <w:r w:rsidRPr="00967025">
        <w:rPr>
          <w:rFonts w:ascii="Times New Roman" w:hAnsi="Times New Roman" w:cs="Times New Roman"/>
        </w:rPr>
        <w:t>*</w:t>
      </w:r>
      <w:r w:rsidR="00D26AC0" w:rsidRPr="00967025">
        <w:rPr>
          <w:rFonts w:ascii="Times New Roman" w:hAnsi="Times New Roman" w:cs="Times New Roman"/>
        </w:rPr>
        <w:t xml:space="preserve"> </w:t>
      </w:r>
      <w:r w:rsidR="007D6B92" w:rsidRPr="00967025">
        <w:rPr>
          <w:rFonts w:ascii="Times New Roman" w:hAnsi="Times New Roman" w:cs="Times New Roman"/>
        </w:rPr>
        <w:t xml:space="preserve">The </w:t>
      </w:r>
      <w:proofErr w:type="spellStart"/>
      <w:r w:rsidR="007D6B92" w:rsidRPr="00967025">
        <w:rPr>
          <w:rFonts w:ascii="Times New Roman" w:hAnsi="Times New Roman" w:cs="Times New Roman"/>
          <w:bCs/>
        </w:rPr>
        <w:t>Narkomfin</w:t>
      </w:r>
      <w:proofErr w:type="spellEnd"/>
      <w:r w:rsidR="007D6B92" w:rsidRPr="00967025">
        <w:rPr>
          <w:rFonts w:ascii="Times New Roman" w:hAnsi="Times New Roman" w:cs="Times New Roman"/>
          <w:bCs/>
        </w:rPr>
        <w:t xml:space="preserve"> Communal House</w:t>
      </w:r>
      <w:r w:rsidR="00482E89" w:rsidRPr="00967025">
        <w:rPr>
          <w:rFonts w:ascii="Times New Roman" w:hAnsi="Times New Roman" w:cs="Times New Roman"/>
        </w:rPr>
        <w:t>,</w:t>
      </w:r>
      <w:r w:rsidR="007D6B92" w:rsidRPr="00967025">
        <w:rPr>
          <w:rFonts w:ascii="Times New Roman" w:hAnsi="Times New Roman" w:cs="Times New Roman"/>
        </w:rPr>
        <w:t xml:space="preserve"> </w:t>
      </w:r>
      <w:hyperlink r:id="rId7" w:history="1">
        <w:r w:rsidR="007D6B92" w:rsidRPr="00967025">
          <w:rPr>
            <w:rFonts w:ascii="Times New Roman" w:hAnsi="Times New Roman" w:cs="Times New Roman"/>
          </w:rPr>
          <w:t>Moscow</w:t>
        </w:r>
      </w:hyperlink>
      <w:r w:rsidR="007D6B92" w:rsidRPr="00967025">
        <w:rPr>
          <w:rFonts w:ascii="Times New Roman" w:hAnsi="Times New Roman" w:cs="Times New Roman"/>
        </w:rPr>
        <w:t xml:space="preserve"> (1928-1929)</w:t>
      </w:r>
    </w:p>
    <w:p w14:paraId="701E54DD" w14:textId="77777777" w:rsidR="004222B3" w:rsidRPr="00967025" w:rsidRDefault="004222B3" w:rsidP="004222B3">
      <w:pPr>
        <w:spacing w:line="360" w:lineRule="auto"/>
        <w:rPr>
          <w:rFonts w:ascii="Times New Roman" w:hAnsi="Times New Roman" w:cs="Times New Roman"/>
        </w:rPr>
      </w:pPr>
      <w:r w:rsidRPr="00967025">
        <w:rPr>
          <w:rFonts w:ascii="Times New Roman" w:hAnsi="Times New Roman" w:cs="Times New Roman"/>
        </w:rPr>
        <w:t xml:space="preserve">* </w:t>
      </w:r>
      <w:r w:rsidR="00F405B6" w:rsidRPr="00967025">
        <w:rPr>
          <w:rFonts w:ascii="Times New Roman" w:hAnsi="Times New Roman" w:cs="Times New Roman"/>
        </w:rPr>
        <w:t>The con</w:t>
      </w:r>
      <w:r w:rsidRPr="00967025">
        <w:rPr>
          <w:rFonts w:ascii="Times New Roman" w:hAnsi="Times New Roman" w:cs="Times New Roman"/>
        </w:rPr>
        <w:t>cept of the social condenser,</w:t>
      </w:r>
      <w:r w:rsidR="00F405B6" w:rsidRPr="00967025">
        <w:rPr>
          <w:rFonts w:ascii="Times New Roman" w:hAnsi="Times New Roman" w:cs="Times New Roman"/>
        </w:rPr>
        <w:t xml:space="preserve"> developed through the theoretical and then practical work of the</w:t>
      </w:r>
      <w:r w:rsidR="004F6D21" w:rsidRPr="00967025">
        <w:rPr>
          <w:rFonts w:ascii="Times New Roman" w:hAnsi="Times New Roman" w:cs="Times New Roman"/>
        </w:rPr>
        <w:t xml:space="preserve"> Russian c</w:t>
      </w:r>
      <w:r w:rsidR="00F405B6" w:rsidRPr="00967025">
        <w:rPr>
          <w:rFonts w:ascii="Times New Roman" w:hAnsi="Times New Roman" w:cs="Times New Roman"/>
        </w:rPr>
        <w:t>onstructivists in the 1920s</w:t>
      </w:r>
      <w:r w:rsidRPr="00967025">
        <w:rPr>
          <w:rFonts w:ascii="Times New Roman" w:hAnsi="Times New Roman" w:cs="Times New Roman"/>
        </w:rPr>
        <w:t xml:space="preserve">, </w:t>
      </w:r>
      <w:r w:rsidR="00F405B6" w:rsidRPr="00967025">
        <w:rPr>
          <w:rFonts w:ascii="Times New Roman" w:hAnsi="Times New Roman" w:cs="Times New Roman"/>
        </w:rPr>
        <w:t>had to be</w:t>
      </w:r>
      <w:r w:rsidRPr="00967025">
        <w:rPr>
          <w:rFonts w:ascii="Times New Roman" w:hAnsi="Times New Roman" w:cs="Times New Roman"/>
        </w:rPr>
        <w:t xml:space="preserve"> </w:t>
      </w:r>
      <w:r w:rsidR="00F405B6" w:rsidRPr="00967025">
        <w:rPr>
          <w:rFonts w:ascii="Times New Roman" w:hAnsi="Times New Roman" w:cs="Times New Roman"/>
        </w:rPr>
        <w:t xml:space="preserve">actively ‘revolutionary’, and according to its subsequent development by architect and theorist </w:t>
      </w:r>
      <w:proofErr w:type="spellStart"/>
      <w:r w:rsidR="005550F7" w:rsidRPr="00967025">
        <w:rPr>
          <w:rFonts w:ascii="Times New Roman" w:hAnsi="Times New Roman" w:cs="Times New Roman"/>
        </w:rPr>
        <w:t>Moisei</w:t>
      </w:r>
      <w:proofErr w:type="spellEnd"/>
      <w:r w:rsidR="005550F7" w:rsidRPr="00967025">
        <w:rPr>
          <w:rFonts w:ascii="Times New Roman" w:hAnsi="Times New Roman" w:cs="Times New Roman"/>
        </w:rPr>
        <w:t xml:space="preserve"> </w:t>
      </w:r>
      <w:proofErr w:type="spellStart"/>
      <w:r w:rsidR="005550F7" w:rsidRPr="00967025">
        <w:rPr>
          <w:rFonts w:ascii="Times New Roman" w:hAnsi="Times New Roman" w:cs="Times New Roman"/>
        </w:rPr>
        <w:t>Ginzburg</w:t>
      </w:r>
      <w:proofErr w:type="spellEnd"/>
      <w:r w:rsidR="005550F7" w:rsidRPr="00967025">
        <w:rPr>
          <w:rFonts w:ascii="Times New Roman" w:hAnsi="Times New Roman" w:cs="Times New Roman"/>
        </w:rPr>
        <w:t xml:space="preserve"> </w:t>
      </w:r>
      <w:r w:rsidR="00F405B6" w:rsidRPr="00967025">
        <w:rPr>
          <w:rFonts w:ascii="Times New Roman" w:hAnsi="Times New Roman" w:cs="Times New Roman"/>
        </w:rPr>
        <w:t>must ‘work’ materially.</w:t>
      </w:r>
      <w:r w:rsidR="00F405B6" w:rsidRPr="00967025">
        <w:rPr>
          <w:rStyle w:val="EndnoteReference"/>
          <w:rFonts w:ascii="Times New Roman" w:hAnsi="Times New Roman" w:cs="Times New Roman"/>
        </w:rPr>
        <w:endnoteReference w:id="1"/>
      </w:r>
      <w:r w:rsidR="00F405B6" w:rsidRPr="00967025">
        <w:rPr>
          <w:rFonts w:ascii="Times New Roman" w:hAnsi="Times New Roman" w:cs="Times New Roman"/>
        </w:rPr>
        <w:t xml:space="preserve"> This constructivist design methodology </w:t>
      </w:r>
      <w:r w:rsidRPr="00967025">
        <w:rPr>
          <w:rFonts w:ascii="Times New Roman" w:hAnsi="Times New Roman" w:cs="Times New Roman"/>
        </w:rPr>
        <w:t>was</w:t>
      </w:r>
      <w:r w:rsidR="00F405B6" w:rsidRPr="00967025">
        <w:rPr>
          <w:rFonts w:ascii="Times New Roman" w:hAnsi="Times New Roman" w:cs="Times New Roman"/>
        </w:rPr>
        <w:t xml:space="preserve"> realized in six schemes, including the </w:t>
      </w:r>
      <w:proofErr w:type="spellStart"/>
      <w:r w:rsidR="00F405B6" w:rsidRPr="00967025">
        <w:rPr>
          <w:rFonts w:ascii="Times New Roman" w:hAnsi="Times New Roman" w:cs="Times New Roman"/>
          <w:bCs/>
        </w:rPr>
        <w:t>Narkomfin</w:t>
      </w:r>
      <w:proofErr w:type="spellEnd"/>
      <w:r w:rsidR="00F405B6" w:rsidRPr="00967025">
        <w:rPr>
          <w:rFonts w:ascii="Times New Roman" w:hAnsi="Times New Roman" w:cs="Times New Roman"/>
          <w:bCs/>
        </w:rPr>
        <w:t xml:space="preserve"> Communal House</w:t>
      </w:r>
      <w:r w:rsidR="00F405B6" w:rsidRPr="00967025">
        <w:rPr>
          <w:rFonts w:ascii="Times New Roman" w:hAnsi="Times New Roman" w:cs="Times New Roman"/>
        </w:rPr>
        <w:t xml:space="preserve"> in </w:t>
      </w:r>
      <w:hyperlink r:id="rId8" w:history="1">
        <w:r w:rsidR="00F405B6" w:rsidRPr="00967025">
          <w:rPr>
            <w:rFonts w:ascii="Times New Roman" w:hAnsi="Times New Roman" w:cs="Times New Roman"/>
          </w:rPr>
          <w:t>Moscow</w:t>
        </w:r>
      </w:hyperlink>
      <w:r w:rsidR="00F405B6" w:rsidRPr="00967025">
        <w:rPr>
          <w:rFonts w:ascii="Times New Roman" w:hAnsi="Times New Roman" w:cs="Times New Roman"/>
        </w:rPr>
        <w:t xml:space="preserve">, designed by </w:t>
      </w:r>
      <w:hyperlink r:id="rId9" w:history="1">
        <w:proofErr w:type="spellStart"/>
        <w:r w:rsidR="00F405B6" w:rsidRPr="00967025">
          <w:rPr>
            <w:rFonts w:ascii="Times New Roman" w:hAnsi="Times New Roman" w:cs="Times New Roman"/>
          </w:rPr>
          <w:t>Ginzburg</w:t>
        </w:r>
        <w:proofErr w:type="spellEnd"/>
      </w:hyperlink>
      <w:r w:rsidR="00F405B6" w:rsidRPr="00967025">
        <w:rPr>
          <w:rFonts w:ascii="Times New Roman" w:hAnsi="Times New Roman" w:cs="Times New Roman"/>
        </w:rPr>
        <w:t xml:space="preserve"> with </w:t>
      </w:r>
      <w:proofErr w:type="spellStart"/>
      <w:r w:rsidR="00F405B6" w:rsidRPr="00967025">
        <w:rPr>
          <w:rFonts w:ascii="Times New Roman" w:hAnsi="Times New Roman" w:cs="Times New Roman"/>
        </w:rPr>
        <w:t>Milinis</w:t>
      </w:r>
      <w:proofErr w:type="spellEnd"/>
      <w:r w:rsidR="00F405B6" w:rsidRPr="00967025">
        <w:rPr>
          <w:rFonts w:ascii="Times New Roman" w:hAnsi="Times New Roman" w:cs="Times New Roman"/>
        </w:rPr>
        <w:t xml:space="preserve"> in 1928-1929.</w:t>
      </w:r>
      <w:r w:rsidR="00F405B6" w:rsidRPr="00967025">
        <w:rPr>
          <w:rStyle w:val="EndnoteReference"/>
          <w:rFonts w:ascii="Times New Roman" w:hAnsi="Times New Roman" w:cs="Times New Roman"/>
        </w:rPr>
        <w:endnoteReference w:id="2"/>
      </w:r>
      <w:r w:rsidR="00F405B6" w:rsidRPr="00967025">
        <w:rPr>
          <w:rFonts w:ascii="Times New Roman" w:hAnsi="Times New Roman" w:cs="Times New Roman"/>
        </w:rPr>
        <w:t xml:space="preserve"> </w:t>
      </w:r>
    </w:p>
    <w:p w14:paraId="6AB56C54" w14:textId="77777777" w:rsidR="004222B3" w:rsidRPr="00967025" w:rsidRDefault="004222B3" w:rsidP="004222B3">
      <w:pPr>
        <w:spacing w:line="360" w:lineRule="auto"/>
        <w:rPr>
          <w:rFonts w:ascii="Times New Roman" w:hAnsi="Times New Roman" w:cs="Times New Roman"/>
        </w:rPr>
      </w:pPr>
    </w:p>
    <w:p w14:paraId="5831DD95" w14:textId="3A6320A0" w:rsidR="00357B61" w:rsidRPr="00967025" w:rsidRDefault="004222B3" w:rsidP="00902B42">
      <w:pPr>
        <w:spacing w:line="360" w:lineRule="auto"/>
        <w:rPr>
          <w:rFonts w:ascii="Times New Roman" w:hAnsi="Times New Roman" w:cs="Times New Roman"/>
        </w:rPr>
      </w:pPr>
      <w:r w:rsidRPr="00967025">
        <w:rPr>
          <w:rFonts w:ascii="Times New Roman" w:hAnsi="Times New Roman" w:cs="Times New Roman"/>
        </w:rPr>
        <w:t>The</w:t>
      </w:r>
      <w:r w:rsidR="00F405B6" w:rsidRPr="00967025">
        <w:rPr>
          <w:rFonts w:ascii="Times New Roman" w:hAnsi="Times New Roman" w:cs="Times New Roman"/>
        </w:rPr>
        <w:t xml:space="preserve"> </w:t>
      </w:r>
      <w:proofErr w:type="spellStart"/>
      <w:r w:rsidR="00F405B6" w:rsidRPr="00967025">
        <w:rPr>
          <w:rFonts w:ascii="Times New Roman" w:hAnsi="Times New Roman" w:cs="Times New Roman"/>
        </w:rPr>
        <w:t>Narkomfin</w:t>
      </w:r>
      <w:proofErr w:type="spellEnd"/>
      <w:r w:rsidR="00F405B6" w:rsidRPr="00967025">
        <w:rPr>
          <w:rFonts w:ascii="Times New Roman" w:hAnsi="Times New Roman" w:cs="Times New Roman"/>
        </w:rPr>
        <w:t xml:space="preserve"> included four separate buildings: a living block with three types of living unit fo</w:t>
      </w:r>
      <w:r w:rsidRPr="00967025">
        <w:rPr>
          <w:rFonts w:ascii="Times New Roman" w:hAnsi="Times New Roman" w:cs="Times New Roman"/>
        </w:rPr>
        <w:t xml:space="preserve">llowing the STROIKOM guidelines, </w:t>
      </w:r>
      <w:r w:rsidR="00F405B6" w:rsidRPr="00967025">
        <w:rPr>
          <w:rFonts w:ascii="Times New Roman" w:hAnsi="Times New Roman" w:cs="Times New Roman"/>
        </w:rPr>
        <w:t>the communal block (with a kitchen, dining room, gymnasium and library), a mechanical laundry building, and a communal crèche, which was never built. This accommodation allowed for both preexisting bourgeois living patterns (K and 2-F units) and fully communist F units.</w:t>
      </w:r>
      <w:r w:rsidR="0031487D" w:rsidRPr="00967025">
        <w:rPr>
          <w:rStyle w:val="EndnoteReference"/>
          <w:rFonts w:ascii="Times New Roman" w:hAnsi="Times New Roman" w:cs="Times New Roman"/>
        </w:rPr>
        <w:endnoteReference w:id="3"/>
      </w:r>
      <w:r w:rsidR="00F405B6" w:rsidRPr="00967025">
        <w:rPr>
          <w:rFonts w:ascii="Times New Roman" w:hAnsi="Times New Roman" w:cs="Times New Roman"/>
        </w:rPr>
        <w:t xml:space="preserve"> The main distinction </w:t>
      </w:r>
      <w:bookmarkStart w:id="0" w:name="_GoBack"/>
      <w:bookmarkEnd w:id="0"/>
      <w:r w:rsidR="00F405B6" w:rsidRPr="00967025">
        <w:rPr>
          <w:rFonts w:ascii="Times New Roman" w:hAnsi="Times New Roman" w:cs="Times New Roman"/>
        </w:rPr>
        <w:t xml:space="preserve">between the two was that the former included kitchens and a family hearth, while the latter was primarily a sleeping unit with minimal facilities for preparing food, since cooking and eating were to take place in the communal block. </w:t>
      </w:r>
      <w:r w:rsidRPr="00967025">
        <w:rPr>
          <w:rFonts w:ascii="Times New Roman" w:hAnsi="Times New Roman" w:cs="Times New Roman"/>
        </w:rPr>
        <w:t xml:space="preserve">The role of spaces that were not simply private interiors or exterior to the buildings, but rather shared and transitional such as corridors, were key to the design. OSA </w:t>
      </w:r>
      <w:r w:rsidRPr="00967025">
        <w:rPr>
          <w:rFonts w:ascii="Times New Roman" w:hAnsi="Times New Roman" w:cs="Times New Roman"/>
        </w:rPr>
        <w:lastRenderedPageBreak/>
        <w:t>believed</w:t>
      </w:r>
      <w:r w:rsidR="00F405B6" w:rsidRPr="00967025">
        <w:rPr>
          <w:rFonts w:ascii="Times New Roman" w:hAnsi="Times New Roman" w:cs="Times New Roman"/>
        </w:rPr>
        <w:t xml:space="preserve"> that architecture had a transformative power, capable of ‘</w:t>
      </w:r>
      <w:proofErr w:type="spellStart"/>
      <w:r w:rsidR="00F405B6" w:rsidRPr="00967025">
        <w:rPr>
          <w:rFonts w:ascii="Times New Roman" w:hAnsi="Times New Roman" w:cs="Times New Roman"/>
        </w:rPr>
        <w:t>induc</w:t>
      </w:r>
      <w:proofErr w:type="spellEnd"/>
      <w:r w:rsidR="00F405B6" w:rsidRPr="00967025">
        <w:rPr>
          <w:rFonts w:ascii="Times New Roman" w:hAnsi="Times New Roman" w:cs="Times New Roman"/>
        </w:rPr>
        <w:t>[</w:t>
      </w:r>
      <w:proofErr w:type="spellStart"/>
      <w:r w:rsidR="00F405B6" w:rsidRPr="00967025">
        <w:rPr>
          <w:rFonts w:ascii="Times New Roman" w:hAnsi="Times New Roman" w:cs="Times New Roman"/>
        </w:rPr>
        <w:t>ing</w:t>
      </w:r>
      <w:proofErr w:type="spellEnd"/>
      <w:r w:rsidR="00F405B6" w:rsidRPr="00967025">
        <w:rPr>
          <w:rFonts w:ascii="Times New Roman" w:hAnsi="Times New Roman" w:cs="Times New Roman"/>
        </w:rPr>
        <w:t xml:space="preserve">] a particular form of social organization’, and that </w:t>
      </w:r>
      <w:r w:rsidRPr="00967025">
        <w:rPr>
          <w:rFonts w:ascii="Times New Roman" w:hAnsi="Times New Roman" w:cs="Times New Roman"/>
        </w:rPr>
        <w:t xml:space="preserve">a </w:t>
      </w:r>
      <w:r w:rsidR="00F405B6" w:rsidRPr="00967025">
        <w:rPr>
          <w:rFonts w:ascii="Times New Roman" w:hAnsi="Times New Roman" w:cs="Times New Roman"/>
        </w:rPr>
        <w:t xml:space="preserve">building </w:t>
      </w:r>
      <w:r w:rsidRPr="00967025">
        <w:rPr>
          <w:rFonts w:ascii="Times New Roman" w:hAnsi="Times New Roman" w:cs="Times New Roman"/>
        </w:rPr>
        <w:t xml:space="preserve">such as </w:t>
      </w:r>
      <w:proofErr w:type="spellStart"/>
      <w:r w:rsidRPr="00967025">
        <w:rPr>
          <w:rFonts w:ascii="Times New Roman" w:hAnsi="Times New Roman" w:cs="Times New Roman"/>
        </w:rPr>
        <w:t>Narkomfin</w:t>
      </w:r>
      <w:proofErr w:type="spellEnd"/>
      <w:r w:rsidRPr="00967025">
        <w:rPr>
          <w:rFonts w:ascii="Times New Roman" w:hAnsi="Times New Roman" w:cs="Times New Roman"/>
        </w:rPr>
        <w:t xml:space="preserve"> </w:t>
      </w:r>
      <w:r w:rsidR="00F405B6" w:rsidRPr="00967025">
        <w:rPr>
          <w:rFonts w:ascii="Times New Roman" w:hAnsi="Times New Roman" w:cs="Times New Roman"/>
        </w:rPr>
        <w:t>would help ease those following bourgeois living patterns into adopting socialist ones.</w:t>
      </w:r>
      <w:r w:rsidR="00F405B6" w:rsidRPr="00967025">
        <w:rPr>
          <w:rStyle w:val="EndnoteReference"/>
          <w:rFonts w:ascii="Times New Roman" w:hAnsi="Times New Roman" w:cs="Times New Roman"/>
        </w:rPr>
        <w:endnoteReference w:id="4"/>
      </w:r>
      <w:r w:rsidR="00D552EF" w:rsidRPr="00967025">
        <w:rPr>
          <w:rFonts w:ascii="Times New Roman" w:hAnsi="Times New Roman" w:cs="Times New Roman"/>
        </w:rPr>
        <w:t xml:space="preserve"> </w:t>
      </w:r>
      <w:r w:rsidR="00357B61" w:rsidRPr="00967025">
        <w:rPr>
          <w:rFonts w:ascii="Times New Roman" w:hAnsi="Times New Roman" w:cs="Times New Roman"/>
        </w:rPr>
        <w:t xml:space="preserve">The </w:t>
      </w:r>
      <w:proofErr w:type="spellStart"/>
      <w:r w:rsidR="00357B61" w:rsidRPr="00967025">
        <w:rPr>
          <w:rFonts w:ascii="Times New Roman" w:hAnsi="Times New Roman" w:cs="Times New Roman"/>
        </w:rPr>
        <w:t>Narkomfin</w:t>
      </w:r>
      <w:proofErr w:type="spellEnd"/>
      <w:r w:rsidR="00357B61" w:rsidRPr="00967025">
        <w:rPr>
          <w:rFonts w:ascii="Times New Roman" w:hAnsi="Times New Roman" w:cs="Times New Roman"/>
        </w:rPr>
        <w:t xml:space="preserve"> Communal House was as a ‘social condenser’ of the transitional type.</w:t>
      </w:r>
      <w:r w:rsidR="00A15AD4" w:rsidRPr="00967025">
        <w:rPr>
          <w:rStyle w:val="EndnoteReference"/>
          <w:rFonts w:ascii="Times New Roman" w:hAnsi="Times New Roman" w:cs="Times New Roman"/>
        </w:rPr>
        <w:endnoteReference w:id="5"/>
      </w:r>
    </w:p>
    <w:p w14:paraId="0C0E8C7A" w14:textId="77777777" w:rsidR="001C0CDB" w:rsidRPr="00967025" w:rsidRDefault="001C0CDB" w:rsidP="000B3666">
      <w:pPr>
        <w:spacing w:line="360" w:lineRule="auto"/>
        <w:rPr>
          <w:rFonts w:ascii="Times New Roman" w:hAnsi="Times New Roman" w:cs="Times New Roman"/>
          <w:i/>
        </w:rPr>
      </w:pPr>
    </w:p>
    <w:p w14:paraId="252FD4A7" w14:textId="77777777" w:rsidR="00F05FF3" w:rsidRPr="00967025" w:rsidRDefault="00F05FF3" w:rsidP="00B7560D">
      <w:pPr>
        <w:tabs>
          <w:tab w:val="left" w:pos="3488"/>
        </w:tabs>
        <w:spacing w:line="360" w:lineRule="auto"/>
        <w:rPr>
          <w:rFonts w:ascii="Times New Roman" w:hAnsi="Times New Roman" w:cs="Times New Roman"/>
        </w:rPr>
      </w:pPr>
    </w:p>
    <w:p w14:paraId="6BE2765E" w14:textId="77777777" w:rsidR="00B7560D" w:rsidRPr="00967025" w:rsidRDefault="004F11ED" w:rsidP="00B7560D">
      <w:pPr>
        <w:tabs>
          <w:tab w:val="left" w:pos="3488"/>
        </w:tabs>
        <w:spacing w:line="360" w:lineRule="auto"/>
        <w:rPr>
          <w:rFonts w:ascii="Times New Roman" w:hAnsi="Times New Roman" w:cs="Times New Roman"/>
        </w:rPr>
      </w:pPr>
      <w:r w:rsidRPr="00967025">
        <w:rPr>
          <w:rFonts w:ascii="Times New Roman" w:hAnsi="Times New Roman" w:cs="Times New Roman"/>
        </w:rPr>
        <w:t xml:space="preserve">* </w:t>
      </w:r>
      <w:r w:rsidR="00D26AC0" w:rsidRPr="00967025">
        <w:rPr>
          <w:rFonts w:ascii="Times New Roman" w:hAnsi="Times New Roman" w:cs="Times New Roman"/>
        </w:rPr>
        <w:t xml:space="preserve"> </w:t>
      </w:r>
      <w:r w:rsidR="00B7560D" w:rsidRPr="00967025">
        <w:rPr>
          <w:rFonts w:ascii="Times New Roman" w:hAnsi="Times New Roman" w:cs="Times New Roman"/>
        </w:rPr>
        <w:t>The Transitional Object or Object of the First Relationship (1951)</w:t>
      </w:r>
    </w:p>
    <w:p w14:paraId="69E3E836" w14:textId="77777777" w:rsidR="00B7560D" w:rsidRPr="00967025" w:rsidRDefault="004F11ED" w:rsidP="00B7560D">
      <w:pPr>
        <w:pStyle w:val="FootnoteText"/>
        <w:tabs>
          <w:tab w:val="clear" w:pos="567"/>
          <w:tab w:val="clear" w:pos="8647"/>
        </w:tabs>
        <w:spacing w:line="360" w:lineRule="auto"/>
        <w:rPr>
          <w:rFonts w:ascii="Times New Roman" w:hAnsi="Times New Roman"/>
          <w:sz w:val="24"/>
          <w:szCs w:val="24"/>
        </w:rPr>
      </w:pPr>
      <w:r w:rsidRPr="00967025">
        <w:rPr>
          <w:rFonts w:ascii="Times New Roman" w:hAnsi="Times New Roman"/>
          <w:sz w:val="24"/>
          <w:szCs w:val="24"/>
        </w:rPr>
        <w:t xml:space="preserve">* </w:t>
      </w:r>
      <w:r w:rsidR="00D26AC0" w:rsidRPr="00967025">
        <w:rPr>
          <w:rFonts w:ascii="Times New Roman" w:hAnsi="Times New Roman"/>
          <w:sz w:val="24"/>
          <w:szCs w:val="24"/>
        </w:rPr>
        <w:t xml:space="preserve"> </w:t>
      </w:r>
      <w:r w:rsidR="00B7560D" w:rsidRPr="00967025">
        <w:rPr>
          <w:rFonts w:ascii="Times New Roman" w:hAnsi="Times New Roman"/>
          <w:sz w:val="24"/>
          <w:szCs w:val="24"/>
        </w:rPr>
        <w:t>The focus of the theory of object relations created and developed by the Independent British Analysts is the unconscious relationship that exists between a subject and his/her objects, both internal and external.</w:t>
      </w:r>
      <w:r w:rsidR="00B7560D" w:rsidRPr="00967025">
        <w:rPr>
          <w:rStyle w:val="EndnoteReference"/>
          <w:rFonts w:ascii="Times New Roman" w:hAnsi="Times New Roman"/>
          <w:sz w:val="24"/>
          <w:szCs w:val="24"/>
        </w:rPr>
        <w:endnoteReference w:id="6"/>
      </w:r>
      <w:r w:rsidR="00B7560D" w:rsidRPr="00967025">
        <w:rPr>
          <w:rFonts w:ascii="Times New Roman" w:hAnsi="Times New Roman"/>
          <w:sz w:val="24"/>
          <w:szCs w:val="24"/>
        </w:rPr>
        <w:t xml:space="preserve"> </w:t>
      </w:r>
      <w:r w:rsidR="00F05FF3" w:rsidRPr="00967025">
        <w:rPr>
          <w:rFonts w:ascii="Times New Roman" w:hAnsi="Times New Roman"/>
          <w:sz w:val="24"/>
          <w:szCs w:val="24"/>
        </w:rPr>
        <w:t xml:space="preserve">Psychoanalyst </w:t>
      </w:r>
      <w:r w:rsidR="00B7560D" w:rsidRPr="00967025">
        <w:rPr>
          <w:rFonts w:ascii="Times New Roman" w:hAnsi="Times New Roman"/>
          <w:sz w:val="24"/>
          <w:szCs w:val="24"/>
        </w:rPr>
        <w:t xml:space="preserve">D. W. </w:t>
      </w:r>
      <w:proofErr w:type="spellStart"/>
      <w:r w:rsidR="00B7560D" w:rsidRPr="00967025">
        <w:rPr>
          <w:rFonts w:ascii="Times New Roman" w:hAnsi="Times New Roman"/>
          <w:sz w:val="24"/>
          <w:szCs w:val="24"/>
        </w:rPr>
        <w:t>Winnicott</w:t>
      </w:r>
      <w:proofErr w:type="spellEnd"/>
      <w:r w:rsidR="00B7560D" w:rsidRPr="00967025">
        <w:rPr>
          <w:rFonts w:ascii="Times New Roman" w:hAnsi="Times New Roman"/>
          <w:sz w:val="24"/>
          <w:szCs w:val="24"/>
        </w:rPr>
        <w:t xml:space="preserve"> introduced the idea of a transitional object, related to, but distinct from, both the external object, the mother’s breast, and the internal object, the introjected breast. For </w:t>
      </w:r>
      <w:proofErr w:type="spellStart"/>
      <w:r w:rsidR="00B7560D" w:rsidRPr="00967025">
        <w:rPr>
          <w:rFonts w:ascii="Times New Roman" w:hAnsi="Times New Roman"/>
          <w:sz w:val="24"/>
          <w:szCs w:val="24"/>
        </w:rPr>
        <w:t>Winnicott</w:t>
      </w:r>
      <w:proofErr w:type="spellEnd"/>
      <w:r w:rsidR="00B7560D" w:rsidRPr="00967025">
        <w:rPr>
          <w:rFonts w:ascii="Times New Roman" w:hAnsi="Times New Roman"/>
          <w:sz w:val="24"/>
          <w:szCs w:val="24"/>
        </w:rPr>
        <w:t xml:space="preserve">, the transitional object or </w:t>
      </w:r>
      <w:r w:rsidR="00F05FF3" w:rsidRPr="00967025">
        <w:rPr>
          <w:rFonts w:ascii="Times New Roman" w:hAnsi="Times New Roman"/>
          <w:sz w:val="24"/>
          <w:szCs w:val="24"/>
        </w:rPr>
        <w:t xml:space="preserve">what he called </w:t>
      </w:r>
      <w:r w:rsidR="00B7560D" w:rsidRPr="00967025">
        <w:rPr>
          <w:rFonts w:ascii="Times New Roman" w:hAnsi="Times New Roman"/>
          <w:sz w:val="24"/>
          <w:szCs w:val="24"/>
        </w:rPr>
        <w:t>the original ‘not-me’ possession stands for the breast or first object, but the use of symbolism implies the child’s ability to make a distinction between fantasy and fact, between internal and external objects.</w:t>
      </w:r>
      <w:r w:rsidR="00B7560D" w:rsidRPr="00967025">
        <w:rPr>
          <w:rStyle w:val="EndnoteReference"/>
          <w:rFonts w:ascii="Times New Roman" w:hAnsi="Times New Roman"/>
          <w:sz w:val="24"/>
          <w:szCs w:val="24"/>
        </w:rPr>
        <w:endnoteReference w:id="7"/>
      </w:r>
      <w:r w:rsidR="00B7560D" w:rsidRPr="00967025">
        <w:rPr>
          <w:rFonts w:ascii="Times New Roman" w:hAnsi="Times New Roman"/>
          <w:sz w:val="24"/>
          <w:szCs w:val="24"/>
        </w:rPr>
        <w:t xml:space="preserve"> This ability to keep inner and outer realities separate yet inter-related results in an intermediate area of experience, the ‘potential space’, </w:t>
      </w:r>
      <w:r w:rsidR="0073220E" w:rsidRPr="00967025">
        <w:rPr>
          <w:rFonts w:ascii="Times New Roman" w:hAnsi="Times New Roman"/>
          <w:sz w:val="24"/>
          <w:szCs w:val="24"/>
        </w:rPr>
        <w:t xml:space="preserve">between ‘the individual and the environment (originally the object)’, </w:t>
      </w:r>
      <w:r w:rsidR="00B7560D" w:rsidRPr="00967025">
        <w:rPr>
          <w:rFonts w:ascii="Times New Roman" w:hAnsi="Times New Roman"/>
          <w:sz w:val="24"/>
          <w:szCs w:val="24"/>
        </w:rPr>
        <w:t xml:space="preserve">which </w:t>
      </w:r>
      <w:proofErr w:type="spellStart"/>
      <w:r w:rsidR="00B7560D" w:rsidRPr="00967025">
        <w:rPr>
          <w:rFonts w:ascii="Times New Roman" w:hAnsi="Times New Roman"/>
          <w:sz w:val="24"/>
          <w:szCs w:val="24"/>
        </w:rPr>
        <w:t>Winnicott</w:t>
      </w:r>
      <w:proofErr w:type="spellEnd"/>
      <w:r w:rsidR="00B7560D" w:rsidRPr="00967025">
        <w:rPr>
          <w:rFonts w:ascii="Times New Roman" w:hAnsi="Times New Roman"/>
          <w:sz w:val="24"/>
          <w:szCs w:val="24"/>
        </w:rPr>
        <w:t xml:space="preserve"> claimed is retained and later in life contributes to the intensity of cultural expe</w:t>
      </w:r>
      <w:r w:rsidR="0073220E" w:rsidRPr="00967025">
        <w:rPr>
          <w:rFonts w:ascii="Times New Roman" w:hAnsi="Times New Roman"/>
          <w:sz w:val="24"/>
          <w:szCs w:val="24"/>
        </w:rPr>
        <w:t>riences around art and religion</w:t>
      </w:r>
      <w:r w:rsidR="00B7560D" w:rsidRPr="00967025">
        <w:rPr>
          <w:rFonts w:ascii="Times New Roman" w:hAnsi="Times New Roman"/>
          <w:sz w:val="24"/>
          <w:szCs w:val="24"/>
        </w:rPr>
        <w:t>.</w:t>
      </w:r>
      <w:r w:rsidR="00B7560D" w:rsidRPr="00967025">
        <w:rPr>
          <w:rStyle w:val="EndnoteReference"/>
          <w:rFonts w:ascii="Times New Roman" w:hAnsi="Times New Roman"/>
          <w:sz w:val="24"/>
          <w:szCs w:val="24"/>
        </w:rPr>
        <w:endnoteReference w:id="8"/>
      </w:r>
    </w:p>
    <w:p w14:paraId="67504764" w14:textId="77777777" w:rsidR="00D26AC0" w:rsidRPr="00967025" w:rsidRDefault="00D26AC0" w:rsidP="00B7560D">
      <w:pPr>
        <w:pStyle w:val="FootnoteText"/>
        <w:tabs>
          <w:tab w:val="clear" w:pos="567"/>
          <w:tab w:val="clear" w:pos="8647"/>
        </w:tabs>
        <w:spacing w:line="360" w:lineRule="auto"/>
        <w:rPr>
          <w:rFonts w:ascii="Times New Roman" w:hAnsi="Times New Roman"/>
          <w:sz w:val="24"/>
          <w:szCs w:val="24"/>
        </w:rPr>
      </w:pPr>
    </w:p>
    <w:p w14:paraId="0DCFB720" w14:textId="77777777" w:rsidR="00D26AC0" w:rsidRPr="00967025" w:rsidRDefault="004F11ED" w:rsidP="00B7560D">
      <w:pPr>
        <w:pStyle w:val="FootnoteText"/>
        <w:tabs>
          <w:tab w:val="clear" w:pos="567"/>
          <w:tab w:val="clear" w:pos="8647"/>
        </w:tabs>
        <w:spacing w:line="360" w:lineRule="auto"/>
        <w:rPr>
          <w:rFonts w:ascii="Times New Roman" w:hAnsi="Times New Roman"/>
          <w:sz w:val="24"/>
          <w:szCs w:val="24"/>
        </w:rPr>
      </w:pPr>
      <w:r w:rsidRPr="00967025">
        <w:rPr>
          <w:rFonts w:ascii="Times New Roman" w:hAnsi="Times New Roman"/>
          <w:sz w:val="24"/>
          <w:szCs w:val="24"/>
        </w:rPr>
        <w:t xml:space="preserve">* </w:t>
      </w:r>
      <w:r w:rsidR="00D26AC0" w:rsidRPr="00967025">
        <w:rPr>
          <w:rFonts w:ascii="Times New Roman" w:hAnsi="Times New Roman"/>
          <w:sz w:val="24"/>
          <w:szCs w:val="24"/>
        </w:rPr>
        <w:t xml:space="preserve"> </w:t>
      </w:r>
      <w:proofErr w:type="spellStart"/>
      <w:r w:rsidR="00D26AC0" w:rsidRPr="00967025">
        <w:rPr>
          <w:rFonts w:ascii="Times New Roman" w:hAnsi="Times New Roman"/>
          <w:i/>
          <w:sz w:val="24"/>
          <w:szCs w:val="24"/>
        </w:rPr>
        <w:t>Unité</w:t>
      </w:r>
      <w:proofErr w:type="spellEnd"/>
      <w:r w:rsidR="00D26AC0" w:rsidRPr="00967025">
        <w:rPr>
          <w:rFonts w:ascii="Times New Roman" w:hAnsi="Times New Roman"/>
          <w:i/>
          <w:sz w:val="24"/>
          <w:szCs w:val="24"/>
        </w:rPr>
        <w:t xml:space="preserve"> </w:t>
      </w:r>
      <w:proofErr w:type="spellStart"/>
      <w:r w:rsidR="00D26AC0" w:rsidRPr="00967025">
        <w:rPr>
          <w:rFonts w:ascii="Times New Roman" w:hAnsi="Times New Roman"/>
          <w:i/>
          <w:sz w:val="24"/>
          <w:szCs w:val="24"/>
        </w:rPr>
        <w:t>d’Habitation</w:t>
      </w:r>
      <w:proofErr w:type="spellEnd"/>
      <w:r w:rsidR="00D26AC0" w:rsidRPr="00967025">
        <w:rPr>
          <w:rFonts w:ascii="Times New Roman" w:hAnsi="Times New Roman"/>
          <w:sz w:val="24"/>
          <w:szCs w:val="24"/>
        </w:rPr>
        <w:t>, Marseilles, (1947-1953)</w:t>
      </w:r>
    </w:p>
    <w:p w14:paraId="71EDC4FF" w14:textId="29006FF2" w:rsidR="00A6579E" w:rsidRPr="00967025" w:rsidRDefault="004F11ED" w:rsidP="00BC77ED">
      <w:pPr>
        <w:spacing w:line="360" w:lineRule="auto"/>
        <w:rPr>
          <w:rFonts w:ascii="Times New Roman" w:hAnsi="Times New Roman" w:cs="Times New Roman"/>
        </w:rPr>
      </w:pPr>
      <w:r w:rsidRPr="00967025">
        <w:rPr>
          <w:rFonts w:ascii="Times New Roman" w:hAnsi="Times New Roman" w:cs="Times New Roman"/>
        </w:rPr>
        <w:t xml:space="preserve">* </w:t>
      </w:r>
      <w:r w:rsidR="005718C0" w:rsidRPr="00967025">
        <w:rPr>
          <w:rFonts w:ascii="Times New Roman" w:hAnsi="Times New Roman" w:cs="Times New Roman"/>
        </w:rPr>
        <w:t>The</w:t>
      </w:r>
      <w:r w:rsidR="000470F7" w:rsidRPr="00967025">
        <w:rPr>
          <w:rFonts w:ascii="Times New Roman" w:hAnsi="Times New Roman" w:cs="Times New Roman"/>
        </w:rPr>
        <w:t xml:space="preserve"> ‘slab block’ of the </w:t>
      </w:r>
      <w:hyperlink r:id="rId10" w:history="1">
        <w:proofErr w:type="spellStart"/>
        <w:r w:rsidR="000470F7" w:rsidRPr="00967025">
          <w:rPr>
            <w:rFonts w:ascii="Times New Roman" w:hAnsi="Times New Roman" w:cs="Times New Roman"/>
            <w:i/>
          </w:rPr>
          <w:t>Unité</w:t>
        </w:r>
        <w:proofErr w:type="spellEnd"/>
        <w:r w:rsidR="000470F7" w:rsidRPr="00967025">
          <w:rPr>
            <w:rFonts w:ascii="Times New Roman" w:hAnsi="Times New Roman" w:cs="Times New Roman"/>
            <w:i/>
          </w:rPr>
          <w:t xml:space="preserve"> </w:t>
        </w:r>
        <w:proofErr w:type="spellStart"/>
        <w:r w:rsidR="000470F7" w:rsidRPr="00967025">
          <w:rPr>
            <w:rFonts w:ascii="Times New Roman" w:hAnsi="Times New Roman" w:cs="Times New Roman"/>
            <w:i/>
          </w:rPr>
          <w:t>d'Habitation</w:t>
        </w:r>
        <w:proofErr w:type="spellEnd"/>
      </w:hyperlink>
      <w:r w:rsidR="005718C0" w:rsidRPr="00967025">
        <w:rPr>
          <w:rFonts w:ascii="Times New Roman" w:hAnsi="Times New Roman" w:cs="Times New Roman"/>
        </w:rPr>
        <w:t xml:space="preserve"> </w:t>
      </w:r>
      <w:r w:rsidR="00271424" w:rsidRPr="00967025">
        <w:rPr>
          <w:rFonts w:ascii="Times New Roman" w:hAnsi="Times New Roman" w:cs="Times New Roman"/>
        </w:rPr>
        <w:t xml:space="preserve">was </w:t>
      </w:r>
      <w:r w:rsidR="00C141A0" w:rsidRPr="00967025">
        <w:rPr>
          <w:rFonts w:ascii="Times New Roman" w:hAnsi="Times New Roman" w:cs="Times New Roman"/>
        </w:rPr>
        <w:t xml:space="preserve">designed by Le Corbusier and </w:t>
      </w:r>
      <w:r w:rsidR="005718C0" w:rsidRPr="00967025">
        <w:rPr>
          <w:rFonts w:ascii="Times New Roman" w:hAnsi="Times New Roman" w:cs="Times New Roman"/>
        </w:rPr>
        <w:t>built between 1947-1953 i</w:t>
      </w:r>
      <w:r w:rsidR="000470F7" w:rsidRPr="00967025">
        <w:rPr>
          <w:rFonts w:ascii="Times New Roman" w:hAnsi="Times New Roman" w:cs="Times New Roman"/>
        </w:rPr>
        <w:t xml:space="preserve">n </w:t>
      </w:r>
      <w:r w:rsidR="00C141A0" w:rsidRPr="00967025">
        <w:rPr>
          <w:rFonts w:ascii="Times New Roman" w:hAnsi="Times New Roman" w:cs="Times New Roman"/>
        </w:rPr>
        <w:t xml:space="preserve">Marseilles. The </w:t>
      </w:r>
      <w:proofErr w:type="spellStart"/>
      <w:r w:rsidR="00C141A0" w:rsidRPr="00967025">
        <w:rPr>
          <w:rFonts w:ascii="Times New Roman" w:hAnsi="Times New Roman" w:cs="Times New Roman"/>
          <w:i/>
        </w:rPr>
        <w:t>Unité</w:t>
      </w:r>
      <w:proofErr w:type="spellEnd"/>
      <w:r w:rsidR="00C141A0" w:rsidRPr="00967025">
        <w:rPr>
          <w:rFonts w:ascii="Times New Roman" w:hAnsi="Times New Roman" w:cs="Times New Roman"/>
          <w:i/>
        </w:rPr>
        <w:t xml:space="preserve"> </w:t>
      </w:r>
      <w:r w:rsidR="00F05FF3" w:rsidRPr="00967025">
        <w:rPr>
          <w:rFonts w:ascii="Times New Roman" w:hAnsi="Times New Roman" w:cs="Times New Roman"/>
        </w:rPr>
        <w:t>i</w:t>
      </w:r>
      <w:r w:rsidR="00BC77ED" w:rsidRPr="00967025">
        <w:rPr>
          <w:rFonts w:ascii="Times New Roman" w:hAnsi="Times New Roman" w:cs="Times New Roman"/>
        </w:rPr>
        <w:t>s 17 stories high, housing</w:t>
      </w:r>
      <w:r w:rsidR="00C141A0" w:rsidRPr="00967025">
        <w:rPr>
          <w:rFonts w:ascii="Times New Roman" w:hAnsi="Times New Roman" w:cs="Times New Roman"/>
        </w:rPr>
        <w:t xml:space="preserve"> 1600 people in 23 different flat types</w:t>
      </w:r>
      <w:r w:rsidR="00BC77ED" w:rsidRPr="00967025">
        <w:rPr>
          <w:rFonts w:ascii="Times New Roman" w:hAnsi="Times New Roman" w:cs="Times New Roman"/>
        </w:rPr>
        <w:t xml:space="preserve"> and </w:t>
      </w:r>
      <w:proofErr w:type="spellStart"/>
      <w:r w:rsidR="00BC77ED" w:rsidRPr="00967025">
        <w:rPr>
          <w:rFonts w:ascii="Times New Roman" w:hAnsi="Times New Roman" w:cs="Times New Roman"/>
        </w:rPr>
        <w:t>includined</w:t>
      </w:r>
      <w:proofErr w:type="spellEnd"/>
      <w:r w:rsidR="00BC77ED" w:rsidRPr="00967025">
        <w:rPr>
          <w:rFonts w:ascii="Times New Roman" w:hAnsi="Times New Roman" w:cs="Times New Roman"/>
        </w:rPr>
        <w:t xml:space="preserve"> 23 communal facilities including an internal street of shops, a health </w:t>
      </w:r>
      <w:proofErr w:type="spellStart"/>
      <w:r w:rsidR="00BC77ED" w:rsidRPr="00967025">
        <w:rPr>
          <w:rFonts w:ascii="Times New Roman" w:hAnsi="Times New Roman" w:cs="Times New Roman"/>
        </w:rPr>
        <w:t>centre</w:t>
      </w:r>
      <w:proofErr w:type="spellEnd"/>
      <w:r w:rsidR="00BC77ED" w:rsidRPr="00967025">
        <w:rPr>
          <w:rFonts w:ascii="Times New Roman" w:hAnsi="Times New Roman" w:cs="Times New Roman"/>
        </w:rPr>
        <w:t xml:space="preserve">, and a </w:t>
      </w:r>
      <w:proofErr w:type="spellStart"/>
      <w:r w:rsidR="00BC77ED" w:rsidRPr="00967025">
        <w:rPr>
          <w:rFonts w:ascii="Times New Roman" w:hAnsi="Times New Roman" w:cs="Times New Roman"/>
        </w:rPr>
        <w:t>kindergarden</w:t>
      </w:r>
      <w:proofErr w:type="spellEnd"/>
      <w:r w:rsidR="00BC77ED" w:rsidRPr="00967025">
        <w:rPr>
          <w:rFonts w:ascii="Times New Roman" w:hAnsi="Times New Roman" w:cs="Times New Roman"/>
        </w:rPr>
        <w:t xml:space="preserve"> and nursery, roof garden, with a swimming pool for children and a gymnasium.</w:t>
      </w:r>
      <w:r w:rsidR="00BC77ED" w:rsidRPr="00967025">
        <w:rPr>
          <w:rStyle w:val="EndnoteReference"/>
          <w:rFonts w:ascii="Times New Roman" w:hAnsi="Times New Roman" w:cs="Times New Roman"/>
        </w:rPr>
        <w:endnoteReference w:id="9"/>
      </w:r>
      <w:r w:rsidR="00BC77ED" w:rsidRPr="00967025">
        <w:rPr>
          <w:rFonts w:ascii="Times New Roman" w:hAnsi="Times New Roman" w:cs="Times New Roman"/>
        </w:rPr>
        <w:t xml:space="preserve"> It’s most striking architectural feature is an</w:t>
      </w:r>
      <w:r w:rsidR="00271424" w:rsidRPr="00967025">
        <w:rPr>
          <w:rFonts w:ascii="Times New Roman" w:hAnsi="Times New Roman" w:cs="Times New Roman"/>
        </w:rPr>
        <w:t xml:space="preserve"> intricate section </w:t>
      </w:r>
      <w:r w:rsidR="00BC77ED" w:rsidRPr="00967025">
        <w:rPr>
          <w:rFonts w:ascii="Times New Roman" w:hAnsi="Times New Roman" w:cs="Times New Roman"/>
        </w:rPr>
        <w:t>which interlocks</w:t>
      </w:r>
      <w:r w:rsidR="00271424" w:rsidRPr="00967025">
        <w:rPr>
          <w:rFonts w:ascii="Times New Roman" w:hAnsi="Times New Roman" w:cs="Times New Roman"/>
        </w:rPr>
        <w:t xml:space="preserve"> two-</w:t>
      </w:r>
      <w:proofErr w:type="spellStart"/>
      <w:r w:rsidR="00271424" w:rsidRPr="00967025">
        <w:rPr>
          <w:rFonts w:ascii="Times New Roman" w:hAnsi="Times New Roman" w:cs="Times New Roman"/>
        </w:rPr>
        <w:t>storey</w:t>
      </w:r>
      <w:proofErr w:type="spellEnd"/>
      <w:r w:rsidR="00271424" w:rsidRPr="00967025">
        <w:rPr>
          <w:rFonts w:ascii="Times New Roman" w:hAnsi="Times New Roman" w:cs="Times New Roman"/>
        </w:rPr>
        <w:t xml:space="preserve"> </w:t>
      </w:r>
      <w:r w:rsidR="003B7389" w:rsidRPr="00967025">
        <w:rPr>
          <w:rFonts w:ascii="Times New Roman" w:hAnsi="Times New Roman" w:cs="Times New Roman"/>
        </w:rPr>
        <w:t xml:space="preserve">apartments </w:t>
      </w:r>
      <w:r w:rsidR="00271424" w:rsidRPr="00967025">
        <w:rPr>
          <w:rFonts w:ascii="Times New Roman" w:hAnsi="Times New Roman" w:cs="Times New Roman"/>
        </w:rPr>
        <w:t xml:space="preserve">with double height living spaces </w:t>
      </w:r>
      <w:r w:rsidR="00BC77ED" w:rsidRPr="00967025">
        <w:rPr>
          <w:rFonts w:ascii="Times New Roman" w:hAnsi="Times New Roman" w:cs="Times New Roman"/>
        </w:rPr>
        <w:t>to incorporate</w:t>
      </w:r>
      <w:r w:rsidR="00C141A0" w:rsidRPr="00967025">
        <w:rPr>
          <w:rFonts w:ascii="Times New Roman" w:hAnsi="Times New Roman" w:cs="Times New Roman"/>
        </w:rPr>
        <w:t xml:space="preserve"> a </w:t>
      </w:r>
      <w:r w:rsidR="00C141A0" w:rsidRPr="00967025">
        <w:rPr>
          <w:rFonts w:ascii="Times New Roman" w:hAnsi="Times New Roman" w:cs="Times New Roman"/>
          <w:i/>
        </w:rPr>
        <w:t xml:space="preserve">rue </w:t>
      </w:r>
      <w:proofErr w:type="spellStart"/>
      <w:r w:rsidR="00C141A0" w:rsidRPr="00967025">
        <w:rPr>
          <w:rFonts w:ascii="Times New Roman" w:hAnsi="Times New Roman" w:cs="Times New Roman"/>
          <w:i/>
        </w:rPr>
        <w:t>intérieure</w:t>
      </w:r>
      <w:proofErr w:type="spellEnd"/>
      <w:r w:rsidR="00271424" w:rsidRPr="00967025">
        <w:rPr>
          <w:rFonts w:ascii="Times New Roman" w:hAnsi="Times New Roman" w:cs="Times New Roman"/>
        </w:rPr>
        <w:t xml:space="preserve"> every three floors.</w:t>
      </w:r>
      <w:r w:rsidR="00C141A0" w:rsidRPr="00967025">
        <w:rPr>
          <w:rFonts w:ascii="Times New Roman" w:hAnsi="Times New Roman" w:cs="Times New Roman"/>
        </w:rPr>
        <w:t xml:space="preserve"> The </w:t>
      </w:r>
      <w:proofErr w:type="spellStart"/>
      <w:r w:rsidR="00C141A0" w:rsidRPr="00967025">
        <w:rPr>
          <w:rFonts w:ascii="Times New Roman" w:hAnsi="Times New Roman" w:cs="Times New Roman"/>
          <w:i/>
        </w:rPr>
        <w:t>Unité</w:t>
      </w:r>
      <w:proofErr w:type="spellEnd"/>
      <w:r w:rsidR="00C141A0" w:rsidRPr="00967025">
        <w:rPr>
          <w:rFonts w:ascii="Times New Roman" w:hAnsi="Times New Roman" w:cs="Times New Roman"/>
          <w:i/>
        </w:rPr>
        <w:t xml:space="preserve"> </w:t>
      </w:r>
      <w:r w:rsidR="005718C0" w:rsidRPr="00967025">
        <w:rPr>
          <w:rFonts w:ascii="Times New Roman" w:hAnsi="Times New Roman" w:cs="Times New Roman"/>
        </w:rPr>
        <w:t xml:space="preserve">draws on many aspects of </w:t>
      </w:r>
      <w:r w:rsidR="00C141A0" w:rsidRPr="00967025">
        <w:rPr>
          <w:rFonts w:ascii="Times New Roman" w:hAnsi="Times New Roman" w:cs="Times New Roman"/>
        </w:rPr>
        <w:t>Le Corbusier’s</w:t>
      </w:r>
      <w:r w:rsidR="005718C0" w:rsidRPr="00967025">
        <w:rPr>
          <w:rFonts w:ascii="Times New Roman" w:hAnsi="Times New Roman" w:cs="Times New Roman"/>
        </w:rPr>
        <w:t xml:space="preserve"> earlier research and work, </w:t>
      </w:r>
      <w:r w:rsidR="00C141A0" w:rsidRPr="00967025">
        <w:rPr>
          <w:rFonts w:ascii="Times New Roman" w:hAnsi="Times New Roman" w:cs="Times New Roman"/>
        </w:rPr>
        <w:t xml:space="preserve">built and unbuilt, </w:t>
      </w:r>
      <w:r w:rsidR="0073220E" w:rsidRPr="00967025">
        <w:rPr>
          <w:rFonts w:ascii="Times New Roman" w:hAnsi="Times New Roman" w:cs="Times New Roman"/>
        </w:rPr>
        <w:t xml:space="preserve">and in the </w:t>
      </w:r>
      <w:r w:rsidR="00C141A0" w:rsidRPr="00967025">
        <w:rPr>
          <w:rFonts w:ascii="Times New Roman" w:hAnsi="Times New Roman" w:cs="Times New Roman"/>
        </w:rPr>
        <w:t xml:space="preserve">mid to late 1920s </w:t>
      </w:r>
      <w:r w:rsidR="0073220E" w:rsidRPr="00967025">
        <w:rPr>
          <w:rFonts w:ascii="Times New Roman" w:hAnsi="Times New Roman" w:cs="Times New Roman"/>
        </w:rPr>
        <w:t xml:space="preserve">Le Corbusier </w:t>
      </w:r>
      <w:r w:rsidR="00F05FF3" w:rsidRPr="00967025">
        <w:rPr>
          <w:rFonts w:ascii="Times New Roman" w:hAnsi="Times New Roman" w:cs="Times New Roman"/>
        </w:rPr>
        <w:t xml:space="preserve">also </w:t>
      </w:r>
      <w:r w:rsidR="0073220E" w:rsidRPr="00967025">
        <w:rPr>
          <w:rFonts w:ascii="Times New Roman" w:hAnsi="Times New Roman" w:cs="Times New Roman"/>
        </w:rPr>
        <w:t>made visits to</w:t>
      </w:r>
      <w:r w:rsidR="00C141A0" w:rsidRPr="00967025">
        <w:rPr>
          <w:rFonts w:ascii="Times New Roman" w:hAnsi="Times New Roman" w:cs="Times New Roman"/>
        </w:rPr>
        <w:t xml:space="preserve"> the Soviet Union to study the architecture,</w:t>
      </w:r>
      <w:r w:rsidR="00C141A0" w:rsidRPr="00967025">
        <w:rPr>
          <w:rStyle w:val="EndnoteReference"/>
          <w:rFonts w:ascii="Times New Roman" w:hAnsi="Times New Roman" w:cs="Times New Roman"/>
        </w:rPr>
        <w:endnoteReference w:id="10"/>
      </w:r>
      <w:r w:rsidR="00C141A0" w:rsidRPr="00967025">
        <w:rPr>
          <w:rFonts w:ascii="Times New Roman" w:hAnsi="Times New Roman" w:cs="Times New Roman"/>
        </w:rPr>
        <w:t xml:space="preserve"> and </w:t>
      </w:r>
      <w:r w:rsidR="000470F7" w:rsidRPr="00967025">
        <w:rPr>
          <w:rFonts w:ascii="Times New Roman" w:hAnsi="Times New Roman" w:cs="Times New Roman"/>
        </w:rPr>
        <w:t xml:space="preserve">was inspired by </w:t>
      </w:r>
      <w:r w:rsidR="003B7389" w:rsidRPr="00967025">
        <w:rPr>
          <w:rFonts w:ascii="Times New Roman" w:hAnsi="Times New Roman" w:cs="Times New Roman"/>
        </w:rPr>
        <w:t>a number of</w:t>
      </w:r>
      <w:r w:rsidR="000470F7" w:rsidRPr="00967025">
        <w:rPr>
          <w:rFonts w:ascii="Times New Roman" w:hAnsi="Times New Roman" w:cs="Times New Roman"/>
        </w:rPr>
        <w:t xml:space="preserve"> aspects of the </w:t>
      </w:r>
      <w:proofErr w:type="spellStart"/>
      <w:r w:rsidR="000470F7" w:rsidRPr="00967025">
        <w:rPr>
          <w:rFonts w:ascii="Times New Roman" w:hAnsi="Times New Roman" w:cs="Times New Roman"/>
        </w:rPr>
        <w:t>Narkomfin</w:t>
      </w:r>
      <w:proofErr w:type="spellEnd"/>
      <w:r w:rsidR="000470F7" w:rsidRPr="00967025">
        <w:rPr>
          <w:rFonts w:ascii="Times New Roman" w:hAnsi="Times New Roman" w:cs="Times New Roman"/>
          <w:i/>
        </w:rPr>
        <w:t xml:space="preserve"> </w:t>
      </w:r>
      <w:r w:rsidR="000470F7" w:rsidRPr="00967025">
        <w:rPr>
          <w:rFonts w:ascii="Times New Roman" w:hAnsi="Times New Roman" w:cs="Times New Roman"/>
        </w:rPr>
        <w:t xml:space="preserve">design: </w:t>
      </w:r>
      <w:r w:rsidR="00C141A0" w:rsidRPr="00967025">
        <w:rPr>
          <w:rFonts w:ascii="Times New Roman" w:hAnsi="Times New Roman" w:cs="Times New Roman"/>
        </w:rPr>
        <w:t>including its innovative section</w:t>
      </w:r>
      <w:r w:rsidR="000470F7" w:rsidRPr="00967025">
        <w:rPr>
          <w:rFonts w:ascii="Times New Roman" w:hAnsi="Times New Roman" w:cs="Times New Roman"/>
          <w:i/>
        </w:rPr>
        <w:t>,</w:t>
      </w:r>
      <w:r w:rsidR="000470F7" w:rsidRPr="00967025">
        <w:rPr>
          <w:rFonts w:ascii="Times New Roman" w:hAnsi="Times New Roman" w:cs="Times New Roman"/>
        </w:rPr>
        <w:t xml:space="preserve"> the variable range in possible apartment types, including one with double height living space, and the provision of communal facilities</w:t>
      </w:r>
      <w:r w:rsidR="00482E89" w:rsidRPr="00967025">
        <w:rPr>
          <w:rFonts w:ascii="Times New Roman" w:hAnsi="Times New Roman" w:cs="Times New Roman"/>
        </w:rPr>
        <w:t xml:space="preserve">. </w:t>
      </w:r>
      <w:r w:rsidR="00C141A0" w:rsidRPr="00967025">
        <w:rPr>
          <w:rFonts w:ascii="Times New Roman" w:hAnsi="Times New Roman" w:cs="Times New Roman"/>
        </w:rPr>
        <w:t xml:space="preserve">At the same time, </w:t>
      </w:r>
      <w:proofErr w:type="spellStart"/>
      <w:r w:rsidR="00D603F2" w:rsidRPr="00967025">
        <w:rPr>
          <w:rFonts w:ascii="Times New Roman" w:hAnsi="Times New Roman" w:cs="Times New Roman"/>
        </w:rPr>
        <w:t>Ginzbu</w:t>
      </w:r>
      <w:r w:rsidR="00C141A0" w:rsidRPr="00967025">
        <w:rPr>
          <w:rFonts w:ascii="Times New Roman" w:hAnsi="Times New Roman" w:cs="Times New Roman"/>
        </w:rPr>
        <w:t>rg</w:t>
      </w:r>
      <w:proofErr w:type="spellEnd"/>
      <w:r w:rsidR="00C141A0" w:rsidRPr="00967025">
        <w:rPr>
          <w:rFonts w:ascii="Times New Roman" w:hAnsi="Times New Roman" w:cs="Times New Roman"/>
        </w:rPr>
        <w:t xml:space="preserve"> and other Soviet constructivists in the early 1920s had read articles by Le Corbusier,</w:t>
      </w:r>
      <w:r w:rsidR="00C141A0" w:rsidRPr="00967025">
        <w:rPr>
          <w:rStyle w:val="EndnoteReference"/>
          <w:rFonts w:ascii="Times New Roman" w:hAnsi="Times New Roman" w:cs="Times New Roman"/>
        </w:rPr>
        <w:endnoteReference w:id="11"/>
      </w:r>
      <w:r w:rsidR="00C141A0" w:rsidRPr="00967025">
        <w:rPr>
          <w:rFonts w:ascii="Times New Roman" w:hAnsi="Times New Roman" w:cs="Times New Roman"/>
        </w:rPr>
        <w:t xml:space="preserve"> and</w:t>
      </w:r>
      <w:r w:rsidR="000470F7" w:rsidRPr="00967025">
        <w:rPr>
          <w:rFonts w:ascii="Times New Roman" w:hAnsi="Times New Roman" w:cs="Times New Roman"/>
        </w:rPr>
        <w:t xml:space="preserve"> references to</w:t>
      </w:r>
      <w:r w:rsidR="00ED4349" w:rsidRPr="00967025">
        <w:rPr>
          <w:rFonts w:ascii="Times New Roman" w:hAnsi="Times New Roman" w:cs="Times New Roman"/>
        </w:rPr>
        <w:t xml:space="preserve"> Le Corbusier’s </w:t>
      </w:r>
      <w:r w:rsidR="007F06A1" w:rsidRPr="00967025">
        <w:rPr>
          <w:rFonts w:ascii="Times New Roman" w:hAnsi="Times New Roman" w:cs="Times New Roman"/>
        </w:rPr>
        <w:t>five-point</w:t>
      </w:r>
      <w:r w:rsidR="00ED4349" w:rsidRPr="00967025">
        <w:rPr>
          <w:rFonts w:ascii="Times New Roman" w:hAnsi="Times New Roman" w:cs="Times New Roman"/>
        </w:rPr>
        <w:t xml:space="preserve"> plan</w:t>
      </w:r>
      <w:r w:rsidR="00482E89" w:rsidRPr="00967025">
        <w:rPr>
          <w:rFonts w:ascii="Times New Roman" w:hAnsi="Times New Roman" w:cs="Times New Roman"/>
        </w:rPr>
        <w:t xml:space="preserve"> </w:t>
      </w:r>
      <w:r w:rsidR="000470F7" w:rsidRPr="00967025">
        <w:rPr>
          <w:rFonts w:ascii="Times New Roman" w:hAnsi="Times New Roman" w:cs="Times New Roman"/>
        </w:rPr>
        <w:t xml:space="preserve">are evident in the </w:t>
      </w:r>
      <w:r w:rsidR="003B7389" w:rsidRPr="00967025">
        <w:rPr>
          <w:rFonts w:ascii="Times New Roman" w:hAnsi="Times New Roman" w:cs="Times New Roman"/>
        </w:rPr>
        <w:t xml:space="preserve">design of </w:t>
      </w:r>
      <w:proofErr w:type="spellStart"/>
      <w:r w:rsidR="000470F7" w:rsidRPr="00967025">
        <w:rPr>
          <w:rFonts w:ascii="Times New Roman" w:hAnsi="Times New Roman" w:cs="Times New Roman"/>
        </w:rPr>
        <w:t>Narkomfin</w:t>
      </w:r>
      <w:proofErr w:type="spellEnd"/>
      <w:r w:rsidR="000470F7" w:rsidRPr="00967025">
        <w:rPr>
          <w:rFonts w:ascii="Times New Roman" w:hAnsi="Times New Roman" w:cs="Times New Roman"/>
        </w:rPr>
        <w:t>.</w:t>
      </w:r>
      <w:r w:rsidR="00482E89" w:rsidRPr="00967025">
        <w:rPr>
          <w:rStyle w:val="EndnoteReference"/>
          <w:rFonts w:ascii="Times New Roman" w:hAnsi="Times New Roman" w:cs="Times New Roman"/>
        </w:rPr>
        <w:endnoteReference w:id="12"/>
      </w:r>
      <w:r w:rsidR="000470F7" w:rsidRPr="00967025">
        <w:rPr>
          <w:rFonts w:ascii="Times New Roman" w:hAnsi="Times New Roman" w:cs="Times New Roman"/>
        </w:rPr>
        <w:t xml:space="preserve"> </w:t>
      </w:r>
    </w:p>
    <w:p w14:paraId="1CC202DA" w14:textId="77777777" w:rsidR="00902B42" w:rsidRPr="00967025" w:rsidRDefault="00902B42" w:rsidP="00582823">
      <w:pPr>
        <w:widowControl w:val="0"/>
        <w:autoSpaceDE w:val="0"/>
        <w:autoSpaceDN w:val="0"/>
        <w:adjustRightInd w:val="0"/>
        <w:spacing w:line="360" w:lineRule="auto"/>
        <w:ind w:right="-432"/>
        <w:rPr>
          <w:rFonts w:ascii="Times New Roman" w:hAnsi="Times New Roman" w:cs="Times New Roman"/>
        </w:rPr>
      </w:pPr>
    </w:p>
    <w:p w14:paraId="59F417EC" w14:textId="77777777" w:rsidR="00582823" w:rsidRPr="00967025" w:rsidRDefault="00B670B4" w:rsidP="00582823">
      <w:pPr>
        <w:widowControl w:val="0"/>
        <w:autoSpaceDE w:val="0"/>
        <w:autoSpaceDN w:val="0"/>
        <w:adjustRightInd w:val="0"/>
        <w:spacing w:line="360" w:lineRule="auto"/>
        <w:ind w:right="-432"/>
        <w:rPr>
          <w:rFonts w:ascii="Times New Roman" w:eastAsia="Times New Roman" w:hAnsi="Times New Roman" w:cs="Times New Roman"/>
        </w:rPr>
      </w:pPr>
      <w:r w:rsidRPr="00967025">
        <w:rPr>
          <w:rFonts w:ascii="Times New Roman" w:eastAsia="Times New Roman" w:hAnsi="Times New Roman" w:cs="Times New Roman"/>
        </w:rPr>
        <w:t xml:space="preserve">* </w:t>
      </w:r>
      <w:r w:rsidR="00C15D53" w:rsidRPr="00967025">
        <w:rPr>
          <w:rFonts w:ascii="Times New Roman" w:eastAsia="Times New Roman" w:hAnsi="Times New Roman" w:cs="Times New Roman"/>
        </w:rPr>
        <w:t xml:space="preserve"> </w:t>
      </w:r>
      <w:r w:rsidR="00582823" w:rsidRPr="00967025">
        <w:rPr>
          <w:rFonts w:ascii="Times New Roman" w:eastAsia="Times New Roman" w:hAnsi="Times New Roman" w:cs="Times New Roman"/>
        </w:rPr>
        <w:t xml:space="preserve">A </w:t>
      </w:r>
      <w:proofErr w:type="spellStart"/>
      <w:r w:rsidR="00582823" w:rsidRPr="00967025">
        <w:rPr>
          <w:rFonts w:ascii="Times New Roman" w:eastAsia="Times New Roman" w:hAnsi="Times New Roman" w:cs="Times New Roman"/>
        </w:rPr>
        <w:t>G</w:t>
      </w:r>
      <w:r w:rsidR="00582823" w:rsidRPr="00967025">
        <w:rPr>
          <w:rFonts w:ascii="Times New Roman" w:hAnsi="Times New Roman" w:cs="Times New Roman"/>
        </w:rPr>
        <w:t>eneralised</w:t>
      </w:r>
      <w:proofErr w:type="spellEnd"/>
      <w:r w:rsidR="00582823" w:rsidRPr="00967025">
        <w:rPr>
          <w:rFonts w:ascii="Times New Roman" w:hAnsi="Times New Roman" w:cs="Times New Roman"/>
        </w:rPr>
        <w:t xml:space="preserve"> Triangular Structure with Variable Third</w:t>
      </w:r>
      <w:r w:rsidR="00E746C7" w:rsidRPr="00967025">
        <w:rPr>
          <w:rFonts w:ascii="Times New Roman" w:hAnsi="Times New Roman" w:cs="Times New Roman"/>
        </w:rPr>
        <w:t>s</w:t>
      </w:r>
    </w:p>
    <w:p w14:paraId="04469174" w14:textId="77777777" w:rsidR="00D26AC0" w:rsidRPr="00967025" w:rsidRDefault="00B670B4" w:rsidP="00B7560D">
      <w:pPr>
        <w:pStyle w:val="BodyText3"/>
        <w:spacing w:line="360" w:lineRule="auto"/>
        <w:rPr>
          <w:rFonts w:ascii="Times New Roman" w:eastAsia="Times New Roman" w:hAnsi="Times New Roman"/>
          <w:sz w:val="24"/>
        </w:rPr>
      </w:pPr>
      <w:r w:rsidRPr="00967025">
        <w:rPr>
          <w:rFonts w:ascii="Times New Roman" w:eastAsia="Times New Roman" w:hAnsi="Times New Roman"/>
          <w:sz w:val="24"/>
        </w:rPr>
        <w:t xml:space="preserve">* </w:t>
      </w:r>
      <w:r w:rsidR="0073220E" w:rsidRPr="00967025">
        <w:rPr>
          <w:rFonts w:ascii="Times New Roman" w:eastAsia="Times New Roman" w:hAnsi="Times New Roman"/>
          <w:sz w:val="24"/>
        </w:rPr>
        <w:t xml:space="preserve"> </w:t>
      </w:r>
      <w:r w:rsidR="00B7560D" w:rsidRPr="00967025">
        <w:rPr>
          <w:rFonts w:ascii="Times New Roman" w:hAnsi="Times New Roman"/>
          <w:sz w:val="24"/>
        </w:rPr>
        <w:t>André Green considers the analytic setting a ‘homologue’ for what he calls the third element in analysis, the ‘analytic object’, which in his view ‘</w:t>
      </w:r>
      <w:r w:rsidR="00B7560D" w:rsidRPr="00967025">
        <w:rPr>
          <w:rFonts w:ascii="Times New Roman" w:eastAsia="Times New Roman" w:hAnsi="Times New Roman"/>
          <w:sz w:val="24"/>
        </w:rPr>
        <w:t xml:space="preserve">corresponds precisely to </w:t>
      </w:r>
      <w:proofErr w:type="spellStart"/>
      <w:r w:rsidR="00B7560D" w:rsidRPr="00967025">
        <w:rPr>
          <w:rFonts w:ascii="Times New Roman" w:eastAsia="Times New Roman" w:hAnsi="Times New Roman"/>
          <w:sz w:val="24"/>
        </w:rPr>
        <w:t>Winnicott’s</w:t>
      </w:r>
      <w:proofErr w:type="spellEnd"/>
      <w:r w:rsidR="00B7560D" w:rsidRPr="00967025">
        <w:rPr>
          <w:rFonts w:ascii="Times New Roman" w:eastAsia="Times New Roman" w:hAnsi="Times New Roman"/>
          <w:sz w:val="24"/>
        </w:rPr>
        <w:t xml:space="preserve"> definition of the transitional object’,</w:t>
      </w:r>
      <w:r w:rsidR="00B7560D" w:rsidRPr="00967025">
        <w:rPr>
          <w:rStyle w:val="EndnoteReference"/>
          <w:rFonts w:ascii="Times New Roman" w:eastAsia="Times New Roman" w:hAnsi="Times New Roman"/>
          <w:sz w:val="24"/>
        </w:rPr>
        <w:endnoteReference w:id="13"/>
      </w:r>
      <w:r w:rsidR="00B7560D" w:rsidRPr="00967025">
        <w:rPr>
          <w:rFonts w:ascii="Times New Roman" w:eastAsia="Times New Roman" w:hAnsi="Times New Roman"/>
          <w:sz w:val="24"/>
        </w:rPr>
        <w:t xml:space="preserve"> and</w:t>
      </w:r>
      <w:r w:rsidR="00B7560D" w:rsidRPr="00967025">
        <w:rPr>
          <w:rFonts w:ascii="Times New Roman" w:hAnsi="Times New Roman"/>
          <w:sz w:val="24"/>
        </w:rPr>
        <w:t xml:space="preserve"> is formed through the analytic association between analyst and </w:t>
      </w:r>
      <w:proofErr w:type="spellStart"/>
      <w:r w:rsidR="00B7560D" w:rsidRPr="00967025">
        <w:rPr>
          <w:rFonts w:ascii="Times New Roman" w:hAnsi="Times New Roman"/>
          <w:sz w:val="24"/>
        </w:rPr>
        <w:t>analysand</w:t>
      </w:r>
      <w:proofErr w:type="spellEnd"/>
      <w:r w:rsidR="00B7560D" w:rsidRPr="00967025">
        <w:rPr>
          <w:rFonts w:ascii="Times New Roman" w:eastAsia="Times New Roman" w:hAnsi="Times New Roman"/>
          <w:sz w:val="24"/>
        </w:rPr>
        <w:t>.</w:t>
      </w:r>
      <w:r w:rsidR="00B7560D" w:rsidRPr="00967025">
        <w:rPr>
          <w:rStyle w:val="EndnoteReference"/>
          <w:rFonts w:ascii="Times New Roman" w:eastAsia="Times New Roman" w:hAnsi="Times New Roman"/>
          <w:sz w:val="24"/>
        </w:rPr>
        <w:endnoteReference w:id="14"/>
      </w:r>
      <w:r w:rsidR="00B7560D" w:rsidRPr="00967025">
        <w:rPr>
          <w:rFonts w:ascii="Times New Roman" w:eastAsia="Times New Roman" w:hAnsi="Times New Roman"/>
          <w:sz w:val="24"/>
        </w:rPr>
        <w:t xml:space="preserve"> </w:t>
      </w:r>
      <w:r w:rsidR="00582823" w:rsidRPr="00967025">
        <w:rPr>
          <w:rFonts w:ascii="Times New Roman" w:eastAsia="Times New Roman" w:hAnsi="Times New Roman"/>
          <w:sz w:val="24"/>
        </w:rPr>
        <w:t>Green notes that the transitional space of the setting has a ‘specificity of its own’, which differs from both outside and inner space.</w:t>
      </w:r>
      <w:r w:rsidR="00582823" w:rsidRPr="00967025">
        <w:rPr>
          <w:rStyle w:val="EndnoteReference"/>
          <w:rFonts w:ascii="Times New Roman" w:hAnsi="Times New Roman"/>
          <w:sz w:val="24"/>
        </w:rPr>
        <w:endnoteReference w:id="15"/>
      </w:r>
      <w:r w:rsidR="00582823" w:rsidRPr="00967025">
        <w:rPr>
          <w:rFonts w:ascii="Times New Roman" w:eastAsia="Times New Roman" w:hAnsi="Times New Roman"/>
          <w:sz w:val="24"/>
        </w:rPr>
        <w:t xml:space="preserve"> </w:t>
      </w:r>
    </w:p>
    <w:p w14:paraId="48F3B655" w14:textId="50B9A979" w:rsidR="0036347F" w:rsidRPr="00967025" w:rsidRDefault="0036347F" w:rsidP="0036347F">
      <w:pPr>
        <w:pStyle w:val="BodyText3"/>
        <w:spacing w:line="360" w:lineRule="auto"/>
        <w:rPr>
          <w:rFonts w:ascii="Times New Roman" w:eastAsia="Times New Roman" w:hAnsi="Times New Roman"/>
          <w:sz w:val="24"/>
        </w:rPr>
      </w:pPr>
      <w:r w:rsidRPr="00967025">
        <w:rPr>
          <w:rFonts w:ascii="Times New Roman" w:hAnsi="Times New Roman"/>
          <w:sz w:val="24"/>
        </w:rPr>
        <w:t xml:space="preserve">For Green the position of the consulting room between inside and outside, relates to its function as a transitional space between analyst and </w:t>
      </w:r>
      <w:proofErr w:type="spellStart"/>
      <w:r w:rsidRPr="00967025">
        <w:rPr>
          <w:rFonts w:ascii="Times New Roman" w:hAnsi="Times New Roman"/>
          <w:sz w:val="24"/>
        </w:rPr>
        <w:t>analysand</w:t>
      </w:r>
      <w:proofErr w:type="spellEnd"/>
      <w:r w:rsidRPr="00967025">
        <w:rPr>
          <w:rFonts w:ascii="Times New Roman" w:hAnsi="Times New Roman"/>
          <w:sz w:val="24"/>
        </w:rPr>
        <w:t xml:space="preserve">, as does its typology as a closed space different from both inner and outer worlds. </w:t>
      </w:r>
    </w:p>
    <w:p w14:paraId="48A6A894" w14:textId="77777777" w:rsidR="0036347F" w:rsidRPr="00967025" w:rsidRDefault="0036347F" w:rsidP="0036347F">
      <w:pPr>
        <w:pStyle w:val="BodyText3"/>
        <w:spacing w:line="360" w:lineRule="auto"/>
        <w:rPr>
          <w:rFonts w:ascii="Times New Roman" w:eastAsia="Times New Roman" w:hAnsi="Times New Roman"/>
          <w:sz w:val="24"/>
        </w:rPr>
      </w:pPr>
    </w:p>
    <w:p w14:paraId="3C9E1D78" w14:textId="77777777" w:rsidR="0036347F" w:rsidRPr="00967025" w:rsidRDefault="0036347F" w:rsidP="0036347F">
      <w:pPr>
        <w:pStyle w:val="BodyText"/>
        <w:ind w:left="993"/>
        <w:rPr>
          <w:rFonts w:ascii="Times New Roman" w:hAnsi="Times New Roman"/>
          <w:sz w:val="24"/>
        </w:rPr>
      </w:pPr>
      <w:r w:rsidRPr="00967025">
        <w:rPr>
          <w:rFonts w:ascii="Times New Roman" w:hAnsi="Times New Roman"/>
          <w:sz w:val="24"/>
        </w:rPr>
        <w:t xml:space="preserve">The analytic object is neither internal (to the </w:t>
      </w:r>
      <w:proofErr w:type="spellStart"/>
      <w:r w:rsidRPr="00967025">
        <w:rPr>
          <w:rFonts w:ascii="Times New Roman" w:hAnsi="Times New Roman"/>
          <w:sz w:val="24"/>
        </w:rPr>
        <w:t>analysand</w:t>
      </w:r>
      <w:proofErr w:type="spellEnd"/>
      <w:r w:rsidRPr="00967025">
        <w:rPr>
          <w:rFonts w:ascii="Times New Roman" w:hAnsi="Times New Roman"/>
          <w:sz w:val="24"/>
        </w:rPr>
        <w:t xml:space="preserve"> or to the analyst), nor external (to either the one or the other), but is situated between the two. So it corresponds precisely to </w:t>
      </w:r>
      <w:proofErr w:type="spellStart"/>
      <w:r w:rsidRPr="00967025">
        <w:rPr>
          <w:rFonts w:ascii="Times New Roman" w:hAnsi="Times New Roman"/>
          <w:sz w:val="24"/>
        </w:rPr>
        <w:t>Winnicott’s</w:t>
      </w:r>
      <w:proofErr w:type="spellEnd"/>
      <w:r w:rsidRPr="00967025">
        <w:rPr>
          <w:rFonts w:ascii="Times New Roman" w:hAnsi="Times New Roman"/>
          <w:sz w:val="24"/>
        </w:rPr>
        <w:t xml:space="preserve"> definition of the transitional object and to its location in the intermediate area of potential space, the space of ‘overlap’ demarcated by the analytic setting.</w:t>
      </w:r>
      <w:r w:rsidRPr="00967025">
        <w:rPr>
          <w:rStyle w:val="EndnoteReference"/>
          <w:rFonts w:ascii="Times New Roman" w:hAnsi="Times New Roman"/>
          <w:sz w:val="24"/>
        </w:rPr>
        <w:endnoteReference w:id="16"/>
      </w:r>
    </w:p>
    <w:p w14:paraId="742EF82C" w14:textId="77777777" w:rsidR="0036347F" w:rsidRPr="00967025" w:rsidRDefault="0036347F" w:rsidP="00B7560D">
      <w:pPr>
        <w:pStyle w:val="BodyText3"/>
        <w:spacing w:line="360" w:lineRule="auto"/>
        <w:rPr>
          <w:rFonts w:ascii="Times New Roman" w:hAnsi="Times New Roman"/>
          <w:sz w:val="24"/>
        </w:rPr>
      </w:pPr>
    </w:p>
    <w:p w14:paraId="1221E305" w14:textId="77777777" w:rsidR="0005652A" w:rsidRPr="00967025" w:rsidRDefault="0005652A" w:rsidP="0005652A">
      <w:pPr>
        <w:pStyle w:val="BodyText3"/>
        <w:spacing w:line="360" w:lineRule="auto"/>
        <w:rPr>
          <w:rFonts w:ascii="Times New Roman" w:hAnsi="Times New Roman"/>
          <w:sz w:val="24"/>
        </w:rPr>
      </w:pPr>
      <w:r w:rsidRPr="00967025">
        <w:rPr>
          <w:rFonts w:ascii="Times New Roman" w:hAnsi="Times New Roman"/>
          <w:sz w:val="24"/>
        </w:rPr>
        <w:t xml:space="preserve">Green understands this spatial construction, as </w:t>
      </w:r>
      <w:r w:rsidRPr="00967025">
        <w:rPr>
          <w:rFonts w:ascii="Times New Roman" w:eastAsia="Times New Roman" w:hAnsi="Times New Roman"/>
          <w:sz w:val="24"/>
        </w:rPr>
        <w:t>a</w:t>
      </w:r>
      <w:r w:rsidRPr="00967025">
        <w:rPr>
          <w:rFonts w:ascii="Times New Roman" w:hAnsi="Times New Roman"/>
          <w:sz w:val="24"/>
        </w:rPr>
        <w:t xml:space="preserve"> ‘</w:t>
      </w:r>
      <w:proofErr w:type="spellStart"/>
      <w:r w:rsidRPr="00967025">
        <w:rPr>
          <w:rFonts w:ascii="Times New Roman" w:hAnsi="Times New Roman"/>
          <w:sz w:val="24"/>
        </w:rPr>
        <w:t>generalised</w:t>
      </w:r>
      <w:proofErr w:type="spellEnd"/>
      <w:r w:rsidRPr="00967025">
        <w:rPr>
          <w:rFonts w:ascii="Times New Roman" w:hAnsi="Times New Roman"/>
          <w:sz w:val="24"/>
        </w:rPr>
        <w:t xml:space="preserve"> triangular structure with variable third’.</w:t>
      </w:r>
      <w:r w:rsidRPr="00967025">
        <w:rPr>
          <w:rStyle w:val="EndnoteReference"/>
          <w:rFonts w:ascii="Times New Roman" w:hAnsi="Times New Roman"/>
          <w:sz w:val="24"/>
        </w:rPr>
        <w:endnoteReference w:id="17"/>
      </w:r>
      <w:r w:rsidRPr="00967025">
        <w:rPr>
          <w:rFonts w:ascii="Times New Roman" w:hAnsi="Times New Roman"/>
          <w:sz w:val="24"/>
        </w:rPr>
        <w:t xml:space="preserve"> </w:t>
      </w:r>
    </w:p>
    <w:p w14:paraId="1000F4EF" w14:textId="77777777" w:rsidR="0067254B" w:rsidRPr="00967025" w:rsidRDefault="0067254B" w:rsidP="0005652A">
      <w:pPr>
        <w:spacing w:line="360" w:lineRule="auto"/>
        <w:rPr>
          <w:rFonts w:ascii="Times New Roman" w:hAnsi="Times New Roman" w:cs="Times New Roman"/>
        </w:rPr>
      </w:pPr>
    </w:p>
    <w:p w14:paraId="0FC13D6F" w14:textId="77777777" w:rsidR="0067254B" w:rsidRPr="00967025" w:rsidRDefault="00B670B4" w:rsidP="0067254B">
      <w:pPr>
        <w:spacing w:line="360" w:lineRule="auto"/>
        <w:rPr>
          <w:rFonts w:ascii="Times New Roman" w:hAnsi="Times New Roman" w:cs="Times New Roman"/>
        </w:rPr>
      </w:pPr>
      <w:r w:rsidRPr="00967025">
        <w:rPr>
          <w:rFonts w:ascii="Times New Roman" w:hAnsi="Times New Roman" w:cs="Times New Roman"/>
        </w:rPr>
        <w:t xml:space="preserve">* </w:t>
      </w:r>
      <w:r w:rsidR="00C15D53" w:rsidRPr="00967025">
        <w:rPr>
          <w:rFonts w:ascii="Times New Roman" w:hAnsi="Times New Roman" w:cs="Times New Roman"/>
        </w:rPr>
        <w:t xml:space="preserve"> </w:t>
      </w:r>
      <w:r w:rsidR="00A267B0" w:rsidRPr="00967025">
        <w:rPr>
          <w:rFonts w:ascii="Times New Roman" w:hAnsi="Times New Roman" w:cs="Times New Roman"/>
        </w:rPr>
        <w:t>Alton West Estate, Roehampton, London SW15</w:t>
      </w:r>
      <w:r w:rsidR="00B42AD3" w:rsidRPr="00967025">
        <w:rPr>
          <w:rFonts w:ascii="Times New Roman" w:hAnsi="Times New Roman" w:cs="Times New Roman"/>
        </w:rPr>
        <w:t xml:space="preserve"> </w:t>
      </w:r>
      <w:r w:rsidR="0067254B" w:rsidRPr="00967025">
        <w:rPr>
          <w:rFonts w:ascii="Times New Roman" w:hAnsi="Times New Roman" w:cs="Times New Roman"/>
        </w:rPr>
        <w:t>(1954-1958)</w:t>
      </w:r>
    </w:p>
    <w:p w14:paraId="7A9BFA84" w14:textId="5DF92757" w:rsidR="003E47F7" w:rsidRPr="00967025" w:rsidRDefault="00197247" w:rsidP="0067254B">
      <w:pPr>
        <w:spacing w:line="360" w:lineRule="auto"/>
        <w:rPr>
          <w:rFonts w:ascii="Times New Roman" w:hAnsi="Times New Roman" w:cs="Times New Roman"/>
        </w:rPr>
      </w:pPr>
      <w:r w:rsidRPr="00967025">
        <w:rPr>
          <w:rFonts w:ascii="Times New Roman" w:hAnsi="Times New Roman" w:cs="Times New Roman"/>
        </w:rPr>
        <w:t xml:space="preserve">Alton West </w:t>
      </w:r>
      <w:r w:rsidR="00F05FF3" w:rsidRPr="00967025">
        <w:rPr>
          <w:rFonts w:ascii="Times New Roman" w:hAnsi="Times New Roman" w:cs="Times New Roman"/>
        </w:rPr>
        <w:t>comprises around</w:t>
      </w:r>
      <w:r w:rsidR="0067254B" w:rsidRPr="00967025">
        <w:rPr>
          <w:rFonts w:ascii="Times New Roman" w:hAnsi="Times New Roman" w:cs="Times New Roman"/>
        </w:rPr>
        <w:t xml:space="preserve"> 1867 dwellings located in </w:t>
      </w:r>
      <w:r w:rsidR="00F05FF3" w:rsidRPr="00967025">
        <w:rPr>
          <w:rFonts w:ascii="Times New Roman" w:hAnsi="Times New Roman" w:cs="Times New Roman"/>
        </w:rPr>
        <w:t>around 100</w:t>
      </w:r>
      <w:r w:rsidR="0067254B" w:rsidRPr="00967025">
        <w:rPr>
          <w:rFonts w:ascii="Times New Roman" w:hAnsi="Times New Roman" w:cs="Times New Roman"/>
        </w:rPr>
        <w:t xml:space="preserve"> acres of parkland. </w:t>
      </w:r>
      <w:r w:rsidR="00BC77ED" w:rsidRPr="00967025">
        <w:rPr>
          <w:rFonts w:ascii="Times New Roman" w:hAnsi="Times New Roman" w:cs="Times New Roman"/>
        </w:rPr>
        <w:t xml:space="preserve">Originally, the </w:t>
      </w:r>
      <w:r w:rsidR="0067254B" w:rsidRPr="00967025">
        <w:rPr>
          <w:rFonts w:ascii="Times New Roman" w:hAnsi="Times New Roman" w:cs="Times New Roman"/>
        </w:rPr>
        <w:t>dwellings w</w:t>
      </w:r>
      <w:r w:rsidR="00443896" w:rsidRPr="00967025">
        <w:rPr>
          <w:rFonts w:ascii="Times New Roman" w:hAnsi="Times New Roman" w:cs="Times New Roman"/>
        </w:rPr>
        <w:t>e</w:t>
      </w:r>
      <w:r w:rsidR="00F05FF3" w:rsidRPr="00967025">
        <w:rPr>
          <w:rFonts w:ascii="Times New Roman" w:hAnsi="Times New Roman" w:cs="Times New Roman"/>
        </w:rPr>
        <w:t>re</w:t>
      </w:r>
      <w:r w:rsidR="0067254B" w:rsidRPr="00967025">
        <w:rPr>
          <w:rFonts w:ascii="Times New Roman" w:hAnsi="Times New Roman" w:cs="Times New Roman"/>
        </w:rPr>
        <w:t xml:space="preserve"> grouped into 12</w:t>
      </w:r>
      <w:r w:rsidR="00460E33" w:rsidRPr="00967025">
        <w:rPr>
          <w:rFonts w:ascii="Times New Roman" w:hAnsi="Times New Roman" w:cs="Times New Roman"/>
        </w:rPr>
        <w:t>-storey point-</w:t>
      </w:r>
      <w:r w:rsidR="0067254B" w:rsidRPr="00967025">
        <w:rPr>
          <w:rFonts w:ascii="Times New Roman" w:hAnsi="Times New Roman" w:cs="Times New Roman"/>
        </w:rPr>
        <w:t xml:space="preserve">blocks of flats, 11-storey </w:t>
      </w:r>
      <w:r w:rsidR="00460E33" w:rsidRPr="00967025">
        <w:rPr>
          <w:rFonts w:ascii="Times New Roman" w:hAnsi="Times New Roman" w:cs="Times New Roman"/>
        </w:rPr>
        <w:t>slab-</w:t>
      </w:r>
      <w:r w:rsidR="0067254B" w:rsidRPr="00967025">
        <w:rPr>
          <w:rFonts w:ascii="Times New Roman" w:hAnsi="Times New Roman" w:cs="Times New Roman"/>
        </w:rPr>
        <w:t xml:space="preserve">blocks of </w:t>
      </w:r>
      <w:proofErr w:type="spellStart"/>
      <w:r w:rsidR="0067254B" w:rsidRPr="00967025">
        <w:rPr>
          <w:rFonts w:ascii="Times New Roman" w:hAnsi="Times New Roman" w:cs="Times New Roman"/>
        </w:rPr>
        <w:t>maisonettes</w:t>
      </w:r>
      <w:proofErr w:type="spellEnd"/>
      <w:r w:rsidR="0067254B" w:rsidRPr="00967025">
        <w:rPr>
          <w:rFonts w:ascii="Times New Roman" w:hAnsi="Times New Roman" w:cs="Times New Roman"/>
        </w:rPr>
        <w:t>, 4</w:t>
      </w:r>
      <w:r w:rsidR="00460E33" w:rsidRPr="00967025">
        <w:rPr>
          <w:rFonts w:ascii="Times New Roman" w:hAnsi="Times New Roman" w:cs="Times New Roman"/>
        </w:rPr>
        <w:t>-storey slab-</w:t>
      </w:r>
      <w:r w:rsidR="0067254B" w:rsidRPr="00967025">
        <w:rPr>
          <w:rFonts w:ascii="Times New Roman" w:hAnsi="Times New Roman" w:cs="Times New Roman"/>
        </w:rPr>
        <w:t xml:space="preserve">blocks of </w:t>
      </w:r>
      <w:proofErr w:type="spellStart"/>
      <w:r w:rsidR="0067254B" w:rsidRPr="00967025">
        <w:rPr>
          <w:rFonts w:ascii="Times New Roman" w:hAnsi="Times New Roman" w:cs="Times New Roman"/>
        </w:rPr>
        <w:t>maisonettes</w:t>
      </w:r>
      <w:proofErr w:type="spellEnd"/>
      <w:r w:rsidR="0067254B" w:rsidRPr="00967025">
        <w:rPr>
          <w:rFonts w:ascii="Times New Roman" w:hAnsi="Times New Roman" w:cs="Times New Roman"/>
        </w:rPr>
        <w:t xml:space="preserve"> and terraces of singl</w:t>
      </w:r>
      <w:r w:rsidR="00BC77ED" w:rsidRPr="00967025">
        <w:rPr>
          <w:rFonts w:ascii="Times New Roman" w:hAnsi="Times New Roman" w:cs="Times New Roman"/>
        </w:rPr>
        <w:t>e-storey housing for old people</w:t>
      </w:r>
      <w:r w:rsidR="0067254B" w:rsidRPr="00967025">
        <w:rPr>
          <w:rFonts w:ascii="Times New Roman" w:hAnsi="Times New Roman" w:cs="Times New Roman"/>
        </w:rPr>
        <w:t>.</w:t>
      </w:r>
      <w:r w:rsidR="0067254B" w:rsidRPr="00967025">
        <w:rPr>
          <w:rStyle w:val="EndnoteReference"/>
          <w:rFonts w:ascii="Times New Roman" w:hAnsi="Times New Roman" w:cs="Times New Roman"/>
        </w:rPr>
        <w:t xml:space="preserve"> </w:t>
      </w:r>
      <w:r w:rsidR="0067254B" w:rsidRPr="00967025">
        <w:rPr>
          <w:rStyle w:val="EndnoteReference"/>
          <w:rFonts w:ascii="Times New Roman" w:hAnsi="Times New Roman" w:cs="Times New Roman"/>
        </w:rPr>
        <w:endnoteReference w:id="18"/>
      </w:r>
      <w:r w:rsidR="0067254B" w:rsidRPr="00967025">
        <w:rPr>
          <w:rFonts w:ascii="Times New Roman" w:hAnsi="Times New Roman" w:cs="Times New Roman"/>
        </w:rPr>
        <w:t xml:space="preserve"> Community facilities were provided in the form of schools – nursery, primary and comprehensive – a surgery, shops and a library.</w:t>
      </w:r>
      <w:r w:rsidR="0067254B" w:rsidRPr="00967025">
        <w:rPr>
          <w:rStyle w:val="EndnoteReference"/>
          <w:rFonts w:ascii="Times New Roman" w:hAnsi="Times New Roman" w:cs="Times New Roman"/>
        </w:rPr>
        <w:endnoteReference w:id="19"/>
      </w:r>
      <w:r w:rsidR="00BC77ED" w:rsidRPr="00967025">
        <w:rPr>
          <w:rFonts w:ascii="Times New Roman" w:hAnsi="Times New Roman" w:cs="Times New Roman"/>
        </w:rPr>
        <w:t xml:space="preserve"> </w:t>
      </w:r>
      <w:r w:rsidR="0067254B" w:rsidRPr="00967025">
        <w:rPr>
          <w:rFonts w:ascii="Times New Roman" w:hAnsi="Times New Roman" w:cs="Times New Roman"/>
        </w:rPr>
        <w:t xml:space="preserve">Architectural historian Nicholas Bullock has outlined how Corbusier’s </w:t>
      </w:r>
      <w:proofErr w:type="spellStart"/>
      <w:r w:rsidR="0067254B" w:rsidRPr="00967025">
        <w:rPr>
          <w:rFonts w:ascii="Times New Roman" w:hAnsi="Times New Roman" w:cs="Times New Roman"/>
          <w:i/>
        </w:rPr>
        <w:t>Unité</w:t>
      </w:r>
      <w:proofErr w:type="spellEnd"/>
      <w:r w:rsidR="0067254B" w:rsidRPr="00967025">
        <w:rPr>
          <w:rFonts w:ascii="Times New Roman" w:hAnsi="Times New Roman" w:cs="Times New Roman"/>
          <w:i/>
        </w:rPr>
        <w:t xml:space="preserve"> </w:t>
      </w:r>
      <w:r w:rsidR="0067254B" w:rsidRPr="00967025">
        <w:rPr>
          <w:rFonts w:ascii="Times New Roman" w:hAnsi="Times New Roman" w:cs="Times New Roman"/>
        </w:rPr>
        <w:t>was a point of reference for the architects of the London County Council in the 1950s, and that while, for example, the architects of Alton East at Roehampton were advocates of New Humanism, those of Alton West were ‘pro-</w:t>
      </w:r>
      <w:proofErr w:type="spellStart"/>
      <w:r w:rsidR="0067254B" w:rsidRPr="00967025">
        <w:rPr>
          <w:rFonts w:ascii="Times New Roman" w:hAnsi="Times New Roman" w:cs="Times New Roman"/>
        </w:rPr>
        <w:t>Corbu</w:t>
      </w:r>
      <w:proofErr w:type="spellEnd"/>
      <w:r w:rsidR="0067254B" w:rsidRPr="00967025">
        <w:rPr>
          <w:rFonts w:ascii="Times New Roman" w:hAnsi="Times New Roman" w:cs="Times New Roman"/>
        </w:rPr>
        <w:t>’.</w:t>
      </w:r>
      <w:r w:rsidR="0067254B" w:rsidRPr="00967025">
        <w:rPr>
          <w:rStyle w:val="EndnoteReference"/>
          <w:rFonts w:ascii="Times New Roman" w:hAnsi="Times New Roman" w:cs="Times New Roman"/>
        </w:rPr>
        <w:endnoteReference w:id="20"/>
      </w:r>
      <w:r w:rsidR="0067254B" w:rsidRPr="00967025">
        <w:rPr>
          <w:rFonts w:ascii="Times New Roman" w:hAnsi="Times New Roman" w:cs="Times New Roman"/>
        </w:rPr>
        <w:t xml:space="preserve"> Bullock refers to the </w:t>
      </w:r>
      <w:r w:rsidR="00AA74BC" w:rsidRPr="00967025">
        <w:rPr>
          <w:rFonts w:ascii="Times New Roman" w:hAnsi="Times New Roman" w:cs="Times New Roman"/>
        </w:rPr>
        <w:t>‘</w:t>
      </w:r>
      <w:r w:rsidR="0067254B" w:rsidRPr="00967025">
        <w:rPr>
          <w:rFonts w:ascii="Times New Roman" w:hAnsi="Times New Roman" w:cs="Times New Roman"/>
        </w:rPr>
        <w:t>hot debates</w:t>
      </w:r>
      <w:r w:rsidR="00AA74BC" w:rsidRPr="00967025">
        <w:rPr>
          <w:rFonts w:ascii="Times New Roman" w:hAnsi="Times New Roman" w:cs="Times New Roman"/>
        </w:rPr>
        <w:t>’</w:t>
      </w:r>
      <w:r w:rsidR="0067254B" w:rsidRPr="00967025">
        <w:rPr>
          <w:rFonts w:ascii="Times New Roman" w:hAnsi="Times New Roman" w:cs="Times New Roman"/>
        </w:rPr>
        <w:t xml:space="preserve"> held in London pubs over the adoption of the principles of the </w:t>
      </w:r>
      <w:proofErr w:type="spellStart"/>
      <w:r w:rsidR="0067254B" w:rsidRPr="00967025">
        <w:rPr>
          <w:rFonts w:ascii="Times New Roman" w:hAnsi="Times New Roman" w:cs="Times New Roman"/>
          <w:i/>
        </w:rPr>
        <w:t>Unité</w:t>
      </w:r>
      <w:proofErr w:type="spellEnd"/>
      <w:r w:rsidR="0067254B" w:rsidRPr="00967025">
        <w:rPr>
          <w:rFonts w:ascii="Times New Roman" w:hAnsi="Times New Roman" w:cs="Times New Roman"/>
        </w:rPr>
        <w:t xml:space="preserve">, and how these were linked to divergent socialist views and attitudes to Soviet communism. </w:t>
      </w:r>
      <w:r w:rsidR="00D96894" w:rsidRPr="00967025">
        <w:rPr>
          <w:rFonts w:ascii="Times New Roman" w:hAnsi="Times New Roman" w:cs="Times New Roman"/>
        </w:rPr>
        <w:t xml:space="preserve">Bullock </w:t>
      </w:r>
      <w:r w:rsidR="0067254B" w:rsidRPr="00967025">
        <w:rPr>
          <w:rFonts w:ascii="Times New Roman" w:hAnsi="Times New Roman" w:cs="Times New Roman"/>
        </w:rPr>
        <w:t xml:space="preserve">notes that in the translation from the </w:t>
      </w:r>
      <w:proofErr w:type="spellStart"/>
      <w:r w:rsidR="0067254B" w:rsidRPr="00967025">
        <w:rPr>
          <w:rFonts w:ascii="Times New Roman" w:hAnsi="Times New Roman" w:cs="Times New Roman"/>
          <w:i/>
        </w:rPr>
        <w:t>Unité</w:t>
      </w:r>
      <w:proofErr w:type="spellEnd"/>
      <w:r w:rsidR="0067254B" w:rsidRPr="00967025">
        <w:rPr>
          <w:rFonts w:ascii="Times New Roman" w:hAnsi="Times New Roman" w:cs="Times New Roman"/>
        </w:rPr>
        <w:t xml:space="preserve"> to Alton West certain key design features were lost including the communal spaces, double height living rooms, and </w:t>
      </w:r>
      <w:r w:rsidR="0036347F" w:rsidRPr="00967025">
        <w:rPr>
          <w:rFonts w:ascii="Times New Roman" w:hAnsi="Times New Roman" w:cs="Times New Roman"/>
        </w:rPr>
        <w:t xml:space="preserve">the </w:t>
      </w:r>
      <w:r w:rsidR="00A267B0" w:rsidRPr="00967025">
        <w:rPr>
          <w:rFonts w:ascii="Times New Roman" w:hAnsi="Times New Roman" w:cs="Times New Roman"/>
        </w:rPr>
        <w:t xml:space="preserve">traditional English access balcony </w:t>
      </w:r>
      <w:r w:rsidR="003E47F7" w:rsidRPr="00967025">
        <w:rPr>
          <w:rFonts w:ascii="Times New Roman" w:hAnsi="Times New Roman" w:cs="Times New Roman"/>
        </w:rPr>
        <w:t xml:space="preserve">replaced the </w:t>
      </w:r>
      <w:r w:rsidR="003E47F7" w:rsidRPr="00967025">
        <w:rPr>
          <w:rFonts w:ascii="Times New Roman" w:hAnsi="Times New Roman" w:cs="Times New Roman"/>
          <w:i/>
        </w:rPr>
        <w:t xml:space="preserve">rue </w:t>
      </w:r>
      <w:proofErr w:type="spellStart"/>
      <w:r w:rsidR="007F06A1" w:rsidRPr="00967025">
        <w:rPr>
          <w:rFonts w:ascii="Times New Roman" w:hAnsi="Times New Roman" w:cs="Times New Roman"/>
          <w:i/>
        </w:rPr>
        <w:t>inté</w:t>
      </w:r>
      <w:r w:rsidR="003E47F7" w:rsidRPr="00967025">
        <w:rPr>
          <w:rFonts w:ascii="Times New Roman" w:hAnsi="Times New Roman" w:cs="Times New Roman"/>
          <w:i/>
        </w:rPr>
        <w:t>rieure</w:t>
      </w:r>
      <w:proofErr w:type="spellEnd"/>
      <w:r w:rsidR="00A267B0" w:rsidRPr="00967025">
        <w:rPr>
          <w:rFonts w:ascii="Times New Roman" w:hAnsi="Times New Roman" w:cs="Times New Roman"/>
        </w:rPr>
        <w:t>.</w:t>
      </w:r>
      <w:r w:rsidR="00460E33" w:rsidRPr="00967025">
        <w:rPr>
          <w:rStyle w:val="EndnoteReference"/>
          <w:rFonts w:ascii="Times New Roman" w:hAnsi="Times New Roman" w:cs="Times New Roman"/>
        </w:rPr>
        <w:t xml:space="preserve"> </w:t>
      </w:r>
      <w:r w:rsidR="00460E33" w:rsidRPr="00967025">
        <w:rPr>
          <w:rStyle w:val="EndnoteReference"/>
          <w:rFonts w:ascii="Times New Roman" w:hAnsi="Times New Roman" w:cs="Times New Roman"/>
        </w:rPr>
        <w:endnoteReference w:id="21"/>
      </w:r>
      <w:r w:rsidR="00D96894" w:rsidRPr="00967025">
        <w:rPr>
          <w:rFonts w:ascii="Times New Roman" w:hAnsi="Times New Roman" w:cs="Times New Roman"/>
        </w:rPr>
        <w:t xml:space="preserve"> </w:t>
      </w:r>
    </w:p>
    <w:p w14:paraId="4CE69B94" w14:textId="77777777" w:rsidR="0067254B" w:rsidRPr="00967025" w:rsidRDefault="0067254B" w:rsidP="0067254B">
      <w:pPr>
        <w:spacing w:line="360" w:lineRule="auto"/>
        <w:rPr>
          <w:rFonts w:ascii="Times New Roman" w:hAnsi="Times New Roman" w:cs="Times New Roman"/>
          <w:i/>
        </w:rPr>
      </w:pPr>
    </w:p>
    <w:p w14:paraId="094C4605" w14:textId="77777777" w:rsidR="00F00655" w:rsidRPr="00967025" w:rsidRDefault="00B670B4" w:rsidP="00197247">
      <w:pPr>
        <w:spacing w:line="360" w:lineRule="auto"/>
        <w:rPr>
          <w:rFonts w:ascii="Times New Roman" w:hAnsi="Times New Roman" w:cs="Times New Roman"/>
        </w:rPr>
      </w:pPr>
      <w:r w:rsidRPr="00967025">
        <w:rPr>
          <w:rFonts w:ascii="Times New Roman" w:hAnsi="Times New Roman" w:cs="Times New Roman"/>
        </w:rPr>
        <w:t xml:space="preserve">* </w:t>
      </w:r>
      <w:r w:rsidR="00F00655" w:rsidRPr="00967025">
        <w:rPr>
          <w:rFonts w:ascii="Times New Roman" w:hAnsi="Times New Roman" w:cs="Times New Roman"/>
        </w:rPr>
        <w:t xml:space="preserve">The Berlin </w:t>
      </w:r>
      <w:proofErr w:type="spellStart"/>
      <w:r w:rsidR="00F00655" w:rsidRPr="00967025">
        <w:rPr>
          <w:rFonts w:ascii="Times New Roman" w:hAnsi="Times New Roman" w:cs="Times New Roman"/>
        </w:rPr>
        <w:t>Poliklinik</w:t>
      </w:r>
      <w:proofErr w:type="spellEnd"/>
    </w:p>
    <w:p w14:paraId="4E26DDD8" w14:textId="77777777" w:rsidR="00B670B4" w:rsidRPr="00967025" w:rsidRDefault="00B670B4" w:rsidP="00197247">
      <w:pPr>
        <w:spacing w:line="360" w:lineRule="auto"/>
        <w:rPr>
          <w:rFonts w:ascii="Times New Roman" w:hAnsi="Times New Roman" w:cs="Times New Roman"/>
          <w:color w:val="262626"/>
        </w:rPr>
      </w:pPr>
      <w:r w:rsidRPr="00967025">
        <w:rPr>
          <w:rFonts w:ascii="Times New Roman" w:hAnsi="Times New Roman" w:cs="Times New Roman"/>
        </w:rPr>
        <w:t xml:space="preserve">* </w:t>
      </w:r>
      <w:r w:rsidR="00197247" w:rsidRPr="00967025">
        <w:rPr>
          <w:rFonts w:ascii="Times New Roman" w:hAnsi="Times New Roman" w:cs="Times New Roman"/>
        </w:rPr>
        <w:t xml:space="preserve">Over his life, Freud </w:t>
      </w:r>
      <w:proofErr w:type="spellStart"/>
      <w:r w:rsidR="00197247" w:rsidRPr="00967025">
        <w:rPr>
          <w:rFonts w:ascii="Times New Roman" w:hAnsi="Times New Roman" w:cs="Times New Roman"/>
        </w:rPr>
        <w:t>practised</w:t>
      </w:r>
      <w:proofErr w:type="spellEnd"/>
      <w:r w:rsidR="00197247" w:rsidRPr="00967025">
        <w:rPr>
          <w:rFonts w:ascii="Times New Roman" w:hAnsi="Times New Roman" w:cs="Times New Roman"/>
        </w:rPr>
        <w:t xml:space="preserve"> psychoanalysis between two settings, in bourgeois houses in which he both lived and worked: first at </w:t>
      </w:r>
      <w:proofErr w:type="spellStart"/>
      <w:r w:rsidR="00197247" w:rsidRPr="00967025">
        <w:rPr>
          <w:rFonts w:ascii="Times New Roman" w:hAnsi="Times New Roman" w:cs="Times New Roman"/>
        </w:rPr>
        <w:t>Berggasse</w:t>
      </w:r>
      <w:proofErr w:type="spellEnd"/>
      <w:r w:rsidR="00197247" w:rsidRPr="00967025">
        <w:rPr>
          <w:rFonts w:ascii="Times New Roman" w:hAnsi="Times New Roman" w:cs="Times New Roman"/>
        </w:rPr>
        <w:t xml:space="preserve"> 19 in Vienna, from 1891 to 1938, and later, after fleeing Austria, at 20 </w:t>
      </w:r>
      <w:proofErr w:type="spellStart"/>
      <w:r w:rsidR="00197247" w:rsidRPr="00967025">
        <w:rPr>
          <w:rFonts w:ascii="Times New Roman" w:hAnsi="Times New Roman" w:cs="Times New Roman"/>
        </w:rPr>
        <w:t>Maresfield</w:t>
      </w:r>
      <w:proofErr w:type="spellEnd"/>
      <w:r w:rsidR="00197247" w:rsidRPr="00967025">
        <w:rPr>
          <w:rFonts w:ascii="Times New Roman" w:hAnsi="Times New Roman" w:cs="Times New Roman"/>
        </w:rPr>
        <w:t xml:space="preserve"> Gardens, Hampstead, north London, from his arrival in England in 1938 until his death in 1939.</w:t>
      </w:r>
      <w:r w:rsidR="00197247" w:rsidRPr="00967025">
        <w:rPr>
          <w:rStyle w:val="EndnoteReference"/>
          <w:rFonts w:ascii="Times New Roman" w:hAnsi="Times New Roman" w:cs="Times New Roman"/>
        </w:rPr>
        <w:endnoteReference w:id="22"/>
      </w:r>
      <w:r w:rsidR="00197247" w:rsidRPr="00967025">
        <w:rPr>
          <w:rFonts w:ascii="Times New Roman" w:hAnsi="Times New Roman" w:cs="Times New Roman"/>
        </w:rPr>
        <w:t xml:space="preserve"> Yet despite the elite and restricted location of the settings in which he </w:t>
      </w:r>
      <w:r w:rsidR="00AA74BC" w:rsidRPr="00967025">
        <w:rPr>
          <w:rFonts w:ascii="Times New Roman" w:hAnsi="Times New Roman" w:cs="Times New Roman"/>
        </w:rPr>
        <w:t>lived and worked</w:t>
      </w:r>
      <w:r w:rsidR="00197247" w:rsidRPr="00967025">
        <w:rPr>
          <w:rFonts w:ascii="Times New Roman" w:hAnsi="Times New Roman" w:cs="Times New Roman"/>
        </w:rPr>
        <w:t xml:space="preserve">, according to cultural historian Elizabeth Danto, </w:t>
      </w:r>
      <w:r w:rsidR="00197247" w:rsidRPr="00967025">
        <w:rPr>
          <w:rFonts w:ascii="Times New Roman" w:hAnsi="Times New Roman" w:cs="Times New Roman"/>
          <w:color w:val="262626"/>
        </w:rPr>
        <w:t>Freud raised the issue of the availability of psychoanalysis in terms of price and accessibility a number of times, but most notably in a speech in Budapest on the eve of the Hungarian Revolution of 1918, where he argued for the need to prov</w:t>
      </w:r>
      <w:r w:rsidR="00AA74BC" w:rsidRPr="00967025">
        <w:rPr>
          <w:rFonts w:ascii="Times New Roman" w:hAnsi="Times New Roman" w:cs="Times New Roman"/>
          <w:color w:val="262626"/>
        </w:rPr>
        <w:t>ide therapy to the masses, who he said s</w:t>
      </w:r>
      <w:r w:rsidR="00197247" w:rsidRPr="00967025">
        <w:rPr>
          <w:rFonts w:ascii="Times New Roman" w:hAnsi="Times New Roman" w:cs="Times New Roman"/>
          <w:color w:val="262626"/>
        </w:rPr>
        <w:t>uffered no less from neuroses than their social ‘betters’.</w:t>
      </w:r>
      <w:r w:rsidR="00197247" w:rsidRPr="00967025">
        <w:rPr>
          <w:rStyle w:val="EndnoteReference"/>
          <w:rFonts w:ascii="Times New Roman" w:hAnsi="Times New Roman" w:cs="Times New Roman"/>
          <w:color w:val="262626"/>
        </w:rPr>
        <w:endnoteReference w:id="23"/>
      </w:r>
      <w:r w:rsidR="00197247" w:rsidRPr="00967025">
        <w:rPr>
          <w:rFonts w:ascii="Times New Roman" w:hAnsi="Times New Roman" w:cs="Times New Roman"/>
        </w:rPr>
        <w:t xml:space="preserve"> Freud stated that ‘neuroses threaten public health no less than tuberculosis’, and proposed ‘that the poor man should have just as much right to assistance to his mind as he now has to the life-saving help offered by surgery’.</w:t>
      </w:r>
      <w:r w:rsidR="00197247" w:rsidRPr="00967025">
        <w:rPr>
          <w:rStyle w:val="EndnoteReference"/>
          <w:rFonts w:ascii="Times New Roman" w:hAnsi="Times New Roman" w:cs="Times New Roman"/>
        </w:rPr>
        <w:endnoteReference w:id="24"/>
      </w:r>
      <w:r w:rsidR="00197247" w:rsidRPr="00967025">
        <w:rPr>
          <w:rFonts w:ascii="Times New Roman" w:hAnsi="Times New Roman" w:cs="Times New Roman"/>
          <w:color w:val="262626"/>
        </w:rPr>
        <w:t xml:space="preserve"> </w:t>
      </w:r>
    </w:p>
    <w:p w14:paraId="38B0B6F5" w14:textId="77777777" w:rsidR="00AA74BC" w:rsidRPr="00967025" w:rsidRDefault="00AA74BC" w:rsidP="00197247">
      <w:pPr>
        <w:spacing w:line="360" w:lineRule="auto"/>
        <w:rPr>
          <w:rFonts w:ascii="Times New Roman" w:hAnsi="Times New Roman" w:cs="Times New Roman"/>
          <w:color w:val="262626"/>
        </w:rPr>
      </w:pPr>
    </w:p>
    <w:p w14:paraId="6E55BB2B" w14:textId="7257F637" w:rsidR="00197247" w:rsidRPr="00967025" w:rsidRDefault="00197247" w:rsidP="00197247">
      <w:pPr>
        <w:spacing w:line="360" w:lineRule="auto"/>
        <w:rPr>
          <w:rFonts w:ascii="Times New Roman" w:hAnsi="Times New Roman" w:cs="Times New Roman"/>
        </w:rPr>
      </w:pPr>
      <w:r w:rsidRPr="00967025">
        <w:rPr>
          <w:rFonts w:ascii="Times New Roman" w:hAnsi="Times New Roman" w:cs="Times New Roman"/>
          <w:color w:val="262626"/>
        </w:rPr>
        <w:t xml:space="preserve">In Berlin and Vienna, free clinics were established in the period after the First World War, as </w:t>
      </w:r>
      <w:r w:rsidRPr="00967025">
        <w:rPr>
          <w:rFonts w:ascii="Times New Roman" w:hAnsi="Times New Roman" w:cs="Times New Roman"/>
        </w:rPr>
        <w:t>part of a shift in the Weimar Republic from a hospital-based system focused on acute care to a preventative approach based on an outpatient clinic system</w:t>
      </w:r>
      <w:r w:rsidRPr="00967025">
        <w:rPr>
          <w:rFonts w:ascii="Times New Roman" w:hAnsi="Times New Roman" w:cs="Times New Roman"/>
          <w:color w:val="262626"/>
        </w:rPr>
        <w:t xml:space="preserve">. </w:t>
      </w:r>
      <w:r w:rsidR="00B670B4" w:rsidRPr="00967025">
        <w:rPr>
          <w:rFonts w:ascii="Times New Roman" w:hAnsi="Times New Roman" w:cs="Times New Roman"/>
          <w:color w:val="262626"/>
        </w:rPr>
        <w:t xml:space="preserve">The </w:t>
      </w:r>
      <w:r w:rsidR="00B670B4" w:rsidRPr="00967025">
        <w:rPr>
          <w:rFonts w:ascii="Times New Roman" w:hAnsi="Times New Roman" w:cs="Times New Roman"/>
        </w:rPr>
        <w:t xml:space="preserve">Berlin </w:t>
      </w:r>
      <w:proofErr w:type="spellStart"/>
      <w:r w:rsidR="00B670B4" w:rsidRPr="00967025">
        <w:rPr>
          <w:rFonts w:ascii="Times New Roman" w:hAnsi="Times New Roman" w:cs="Times New Roman"/>
        </w:rPr>
        <w:t>Poliklinik</w:t>
      </w:r>
      <w:proofErr w:type="spellEnd"/>
      <w:r w:rsidR="00B670B4" w:rsidRPr="00967025">
        <w:rPr>
          <w:rFonts w:ascii="Times New Roman" w:hAnsi="Times New Roman" w:cs="Times New Roman"/>
        </w:rPr>
        <w:t xml:space="preserve"> </w:t>
      </w:r>
      <w:r w:rsidRPr="00967025">
        <w:rPr>
          <w:rFonts w:ascii="Times New Roman" w:hAnsi="Times New Roman" w:cs="Times New Roman"/>
        </w:rPr>
        <w:t xml:space="preserve">opened in 1920, and the Vienna </w:t>
      </w:r>
      <w:proofErr w:type="spellStart"/>
      <w:r w:rsidRPr="00967025">
        <w:rPr>
          <w:rFonts w:ascii="Times New Roman" w:hAnsi="Times New Roman" w:cs="Times New Roman"/>
        </w:rPr>
        <w:t>Ambulatorium</w:t>
      </w:r>
      <w:proofErr w:type="spellEnd"/>
      <w:r w:rsidRPr="00967025">
        <w:rPr>
          <w:rFonts w:ascii="Times New Roman" w:hAnsi="Times New Roman" w:cs="Times New Roman"/>
        </w:rPr>
        <w:t>, in 1922,</w:t>
      </w:r>
      <w:r w:rsidRPr="00967025">
        <w:rPr>
          <w:rStyle w:val="EndnoteReference"/>
          <w:rFonts w:ascii="Times New Roman" w:hAnsi="Times New Roman" w:cs="Times New Roman"/>
        </w:rPr>
        <w:endnoteReference w:id="25"/>
      </w:r>
      <w:r w:rsidRPr="00967025">
        <w:rPr>
          <w:rFonts w:ascii="Times New Roman" w:hAnsi="Times New Roman" w:cs="Times New Roman"/>
        </w:rPr>
        <w:t xml:space="preserve"> as well as one set up in Budapest at the university by Sandor </w:t>
      </w:r>
      <w:proofErr w:type="spellStart"/>
      <w:r w:rsidRPr="00967025">
        <w:rPr>
          <w:rFonts w:ascii="Times New Roman" w:hAnsi="Times New Roman" w:cs="Times New Roman"/>
        </w:rPr>
        <w:t>Ferenczi</w:t>
      </w:r>
      <w:proofErr w:type="spellEnd"/>
      <w:r w:rsidRPr="00967025">
        <w:rPr>
          <w:rFonts w:ascii="Times New Roman" w:hAnsi="Times New Roman" w:cs="Times New Roman"/>
        </w:rPr>
        <w:t xml:space="preserve"> in 1919 and which was revived ten years later.</w:t>
      </w:r>
      <w:r w:rsidRPr="00967025">
        <w:rPr>
          <w:rStyle w:val="EndnoteReference"/>
          <w:rFonts w:ascii="Times New Roman" w:hAnsi="Times New Roman" w:cs="Times New Roman"/>
        </w:rPr>
        <w:endnoteReference w:id="26"/>
      </w:r>
      <w:r w:rsidR="0036347F" w:rsidRPr="00967025">
        <w:rPr>
          <w:rFonts w:ascii="Times New Roman" w:hAnsi="Times New Roman" w:cs="Times New Roman"/>
        </w:rPr>
        <w:t xml:space="preserve"> </w:t>
      </w:r>
      <w:r w:rsidR="00DD2D94" w:rsidRPr="00967025">
        <w:rPr>
          <w:rFonts w:ascii="Times New Roman" w:hAnsi="Times New Roman" w:cs="Times New Roman"/>
        </w:rPr>
        <w:t>The</w:t>
      </w:r>
      <w:r w:rsidRPr="00967025">
        <w:rPr>
          <w:rFonts w:ascii="Times New Roman" w:hAnsi="Times New Roman" w:cs="Times New Roman"/>
        </w:rPr>
        <w:t xml:space="preserve"> first psychoanalytic outpatient services </w:t>
      </w:r>
      <w:r w:rsidR="00DD2D94" w:rsidRPr="00967025">
        <w:rPr>
          <w:rFonts w:ascii="Times New Roman" w:hAnsi="Times New Roman" w:cs="Times New Roman"/>
        </w:rPr>
        <w:t xml:space="preserve">to </w:t>
      </w:r>
      <w:r w:rsidRPr="00967025">
        <w:rPr>
          <w:rFonts w:ascii="Times New Roman" w:hAnsi="Times New Roman" w:cs="Times New Roman"/>
        </w:rPr>
        <w:t xml:space="preserve">specifically </w:t>
      </w:r>
      <w:r w:rsidR="00DD2D94" w:rsidRPr="00967025">
        <w:rPr>
          <w:rFonts w:ascii="Times New Roman" w:hAnsi="Times New Roman" w:cs="Times New Roman"/>
        </w:rPr>
        <w:t xml:space="preserve">be </w:t>
      </w:r>
      <w:r w:rsidRPr="00967025">
        <w:rPr>
          <w:rFonts w:ascii="Times New Roman" w:hAnsi="Times New Roman" w:cs="Times New Roman"/>
        </w:rPr>
        <w:t xml:space="preserve">identified as a free clinic were officially inaugurated on 16 February 1920 by the Berlin Psychoanalytic Society, at 29 W. </w:t>
      </w:r>
      <w:proofErr w:type="spellStart"/>
      <w:r w:rsidRPr="00967025">
        <w:rPr>
          <w:rFonts w:ascii="Times New Roman" w:hAnsi="Times New Roman" w:cs="Times New Roman"/>
        </w:rPr>
        <w:t>Potsdamer</w:t>
      </w:r>
      <w:proofErr w:type="spellEnd"/>
      <w:r w:rsidRPr="00967025">
        <w:rPr>
          <w:rFonts w:ascii="Times New Roman" w:hAnsi="Times New Roman" w:cs="Times New Roman"/>
        </w:rPr>
        <w:t xml:space="preserve"> </w:t>
      </w:r>
      <w:proofErr w:type="spellStart"/>
      <w:r w:rsidRPr="00967025">
        <w:rPr>
          <w:rFonts w:ascii="Times New Roman" w:hAnsi="Times New Roman" w:cs="Times New Roman"/>
        </w:rPr>
        <w:t>Strasse</w:t>
      </w:r>
      <w:proofErr w:type="spellEnd"/>
      <w:r w:rsidRPr="00967025">
        <w:rPr>
          <w:rFonts w:ascii="Times New Roman" w:hAnsi="Times New Roman" w:cs="Times New Roman"/>
        </w:rPr>
        <w:t xml:space="preserve">, where the innovations included free treatment, length-of-treatment guidelines, </w:t>
      </w:r>
      <w:proofErr w:type="spellStart"/>
      <w:r w:rsidRPr="00967025">
        <w:rPr>
          <w:rFonts w:ascii="Times New Roman" w:hAnsi="Times New Roman" w:cs="Times New Roman"/>
        </w:rPr>
        <w:t>fractionary</w:t>
      </w:r>
      <w:proofErr w:type="spellEnd"/>
      <w:r w:rsidRPr="00967025">
        <w:rPr>
          <w:rFonts w:ascii="Times New Roman" w:hAnsi="Times New Roman" w:cs="Times New Roman"/>
        </w:rPr>
        <w:t xml:space="preserve"> or time-limited analysis, child analysis and the </w:t>
      </w:r>
      <w:proofErr w:type="spellStart"/>
      <w:r w:rsidRPr="00967025">
        <w:rPr>
          <w:rFonts w:ascii="Times New Roman" w:hAnsi="Times New Roman" w:cs="Times New Roman"/>
        </w:rPr>
        <w:t>formalisation</w:t>
      </w:r>
      <w:proofErr w:type="spellEnd"/>
      <w:r w:rsidRPr="00967025">
        <w:rPr>
          <w:rFonts w:ascii="Times New Roman" w:hAnsi="Times New Roman" w:cs="Times New Roman"/>
        </w:rPr>
        <w:t xml:space="preserve"> of psychoanalytic training.</w:t>
      </w:r>
      <w:r w:rsidRPr="00967025">
        <w:rPr>
          <w:rStyle w:val="EndnoteReference"/>
          <w:rFonts w:ascii="Times New Roman" w:hAnsi="Times New Roman" w:cs="Times New Roman"/>
        </w:rPr>
        <w:endnoteReference w:id="27"/>
      </w:r>
      <w:r w:rsidRPr="00967025">
        <w:rPr>
          <w:rFonts w:ascii="Times New Roman" w:hAnsi="Times New Roman" w:cs="Times New Roman"/>
        </w:rPr>
        <w:t xml:space="preserve"> </w:t>
      </w:r>
      <w:r w:rsidR="00DD2D94" w:rsidRPr="00967025">
        <w:rPr>
          <w:rFonts w:ascii="Times New Roman" w:hAnsi="Times New Roman" w:cs="Times New Roman"/>
        </w:rPr>
        <w:t>The</w:t>
      </w:r>
      <w:r w:rsidRPr="00967025">
        <w:rPr>
          <w:rFonts w:ascii="Times New Roman" w:hAnsi="Times New Roman" w:cs="Times New Roman"/>
        </w:rPr>
        <w:t xml:space="preserve"> Berlin </w:t>
      </w:r>
      <w:proofErr w:type="spellStart"/>
      <w:r w:rsidRPr="00967025">
        <w:rPr>
          <w:rFonts w:ascii="Times New Roman" w:hAnsi="Times New Roman" w:cs="Times New Roman"/>
        </w:rPr>
        <w:t>Poliklinik</w:t>
      </w:r>
      <w:proofErr w:type="spellEnd"/>
      <w:r w:rsidRPr="00967025">
        <w:rPr>
          <w:rFonts w:ascii="Times New Roman" w:hAnsi="Times New Roman" w:cs="Times New Roman"/>
        </w:rPr>
        <w:t xml:space="preserve"> was located in rented space on the fourth floor of an apartment house, and that the interiors, designed by Freud’s architect and engineer son Ernst, included a suite of five rooms for treatment or consultation, soundproofed with double doors, the largest of which was also used for conf</w:t>
      </w:r>
      <w:r w:rsidR="0036347F" w:rsidRPr="00967025">
        <w:rPr>
          <w:rFonts w:ascii="Times New Roman" w:hAnsi="Times New Roman" w:cs="Times New Roman"/>
        </w:rPr>
        <w:t>erences, lectures and meetings.</w:t>
      </w:r>
    </w:p>
    <w:p w14:paraId="69FA51C3" w14:textId="77777777" w:rsidR="00F00655" w:rsidRPr="00967025" w:rsidRDefault="00F00655" w:rsidP="00354012">
      <w:pPr>
        <w:widowControl w:val="0"/>
        <w:autoSpaceDE w:val="0"/>
        <w:autoSpaceDN w:val="0"/>
        <w:adjustRightInd w:val="0"/>
        <w:spacing w:after="200"/>
        <w:rPr>
          <w:rFonts w:ascii="Times New Roman" w:hAnsi="Times New Roman" w:cs="Times New Roman"/>
        </w:rPr>
      </w:pPr>
    </w:p>
    <w:p w14:paraId="2A3C37F5" w14:textId="6E22AA36" w:rsidR="002D2F09" w:rsidRPr="00967025" w:rsidRDefault="00112C44" w:rsidP="00354012">
      <w:pPr>
        <w:widowControl w:val="0"/>
        <w:autoSpaceDE w:val="0"/>
        <w:autoSpaceDN w:val="0"/>
        <w:adjustRightInd w:val="0"/>
        <w:spacing w:after="200"/>
        <w:rPr>
          <w:rFonts w:ascii="Times New Roman" w:hAnsi="Times New Roman" w:cs="Times New Roman"/>
        </w:rPr>
      </w:pPr>
      <w:r w:rsidRPr="00967025">
        <w:rPr>
          <w:rFonts w:ascii="Times New Roman" w:hAnsi="Times New Roman" w:cs="Times New Roman"/>
        </w:rPr>
        <w:t xml:space="preserve">* </w:t>
      </w:r>
      <w:r w:rsidR="0005652A" w:rsidRPr="00967025">
        <w:rPr>
          <w:rFonts w:ascii="Times New Roman" w:hAnsi="Times New Roman" w:cs="Times New Roman"/>
        </w:rPr>
        <w:t xml:space="preserve">71 </w:t>
      </w:r>
      <w:proofErr w:type="spellStart"/>
      <w:r w:rsidR="0005652A" w:rsidRPr="00967025">
        <w:rPr>
          <w:rFonts w:ascii="Times New Roman" w:hAnsi="Times New Roman" w:cs="Times New Roman"/>
        </w:rPr>
        <w:t>C</w:t>
      </w:r>
      <w:r w:rsidR="002D2F09" w:rsidRPr="00967025">
        <w:rPr>
          <w:rFonts w:ascii="Times New Roman" w:hAnsi="Times New Roman" w:cs="Times New Roman"/>
        </w:rPr>
        <w:t>rossmount</w:t>
      </w:r>
      <w:proofErr w:type="spellEnd"/>
      <w:r w:rsidR="0005652A" w:rsidRPr="00967025">
        <w:rPr>
          <w:rFonts w:ascii="Times New Roman" w:hAnsi="Times New Roman" w:cs="Times New Roman"/>
        </w:rPr>
        <w:t xml:space="preserve"> House</w:t>
      </w:r>
    </w:p>
    <w:p w14:paraId="0BC52CB5" w14:textId="3B9C32DC" w:rsidR="0005652A" w:rsidRPr="00967025" w:rsidRDefault="00112C44" w:rsidP="0005652A">
      <w:pPr>
        <w:spacing w:line="360" w:lineRule="auto"/>
        <w:rPr>
          <w:rFonts w:ascii="Times New Roman" w:hAnsi="Times New Roman" w:cs="Times New Roman"/>
        </w:rPr>
      </w:pPr>
      <w:r w:rsidRPr="00967025">
        <w:rPr>
          <w:rFonts w:ascii="Times New Roman" w:hAnsi="Times New Roman" w:cs="Times New Roman"/>
        </w:rPr>
        <w:t xml:space="preserve">* </w:t>
      </w:r>
      <w:r w:rsidR="0005652A" w:rsidRPr="00967025">
        <w:rPr>
          <w:rFonts w:ascii="Times New Roman" w:hAnsi="Times New Roman" w:cs="Times New Roman"/>
        </w:rPr>
        <w:t>I wrote the final part of this book in from a tower block in south London, where from my flat on the eighteenth floor I could see the history of London’s social housing lying at my feet. Many of the</w:t>
      </w:r>
      <w:r w:rsidR="0005652A" w:rsidRPr="00967025">
        <w:rPr>
          <w:rFonts w:ascii="Times New Roman" w:hAnsi="Times New Roman" w:cs="Times New Roman"/>
          <w:color w:val="000000"/>
        </w:rPr>
        <w:t xml:space="preserve"> post-war social housing schemes inspired by communal elements contained in the social condenser of the transitional are currently judged to have failed in their intentions or to be structurally unsound, but the problem is more often the lack of investment in the communal spaces and infrastructure, rather than the original aspirations or engineering design. </w:t>
      </w:r>
      <w:r w:rsidR="0005652A" w:rsidRPr="00967025">
        <w:rPr>
          <w:rFonts w:ascii="Times New Roman" w:hAnsi="Times New Roman" w:cs="Times New Roman"/>
        </w:rPr>
        <w:t xml:space="preserve">The years of neglect were visible in my own point-block, where the social condensers – laundries, one on each floor – all lay empty, the doors recently padlocked by </w:t>
      </w:r>
      <w:proofErr w:type="spellStart"/>
      <w:r w:rsidR="0005652A" w:rsidRPr="00967025">
        <w:rPr>
          <w:rFonts w:ascii="Times New Roman" w:hAnsi="Times New Roman" w:cs="Times New Roman"/>
        </w:rPr>
        <w:t>Southwark</w:t>
      </w:r>
      <w:proofErr w:type="spellEnd"/>
      <w:r w:rsidR="0005652A" w:rsidRPr="00967025">
        <w:rPr>
          <w:rFonts w:ascii="Times New Roman" w:hAnsi="Times New Roman" w:cs="Times New Roman"/>
        </w:rPr>
        <w:t xml:space="preserve"> Council, because of the ‘health and safety’ threat they pose. Yet the one act of repair </w:t>
      </w:r>
      <w:proofErr w:type="spellStart"/>
      <w:r w:rsidR="0005652A" w:rsidRPr="00967025">
        <w:rPr>
          <w:rFonts w:ascii="Times New Roman" w:hAnsi="Times New Roman" w:cs="Times New Roman"/>
        </w:rPr>
        <w:t>Southwark</w:t>
      </w:r>
      <w:proofErr w:type="spellEnd"/>
      <w:r w:rsidR="0005652A" w:rsidRPr="00967025">
        <w:rPr>
          <w:rFonts w:ascii="Times New Roman" w:hAnsi="Times New Roman" w:cs="Times New Roman"/>
        </w:rPr>
        <w:t xml:space="preserve"> Council have invested in, smacks of aesthetic vandalism and will stop residents ever accessing their balconies again. </w:t>
      </w:r>
    </w:p>
    <w:p w14:paraId="0683CC97" w14:textId="77777777" w:rsidR="0005652A" w:rsidRPr="00967025" w:rsidRDefault="0005652A" w:rsidP="0005652A">
      <w:pPr>
        <w:spacing w:line="360" w:lineRule="auto"/>
        <w:rPr>
          <w:rFonts w:ascii="Times New Roman" w:hAnsi="Times New Roman" w:cs="Times New Roman"/>
        </w:rPr>
      </w:pPr>
    </w:p>
    <w:p w14:paraId="7178478A" w14:textId="138DEF89" w:rsidR="0005652A" w:rsidRPr="00967025" w:rsidRDefault="0005652A" w:rsidP="0005652A">
      <w:pPr>
        <w:spacing w:line="360" w:lineRule="auto"/>
        <w:rPr>
          <w:rFonts w:ascii="Times New Roman" w:hAnsi="Times New Roman" w:cs="Times New Roman"/>
        </w:rPr>
      </w:pPr>
      <w:r w:rsidRPr="00967025">
        <w:rPr>
          <w:rFonts w:ascii="Times New Roman" w:hAnsi="Times New Roman" w:cs="Times New Roman"/>
        </w:rPr>
        <w:t xml:space="preserve">As spring turned to summer, the beautiful </w:t>
      </w:r>
      <w:proofErr w:type="spellStart"/>
      <w:r w:rsidRPr="00967025">
        <w:rPr>
          <w:rFonts w:ascii="Times New Roman" w:hAnsi="Times New Roman" w:cs="Times New Roman"/>
        </w:rPr>
        <w:t>Crittall</w:t>
      </w:r>
      <w:proofErr w:type="spellEnd"/>
      <w:r w:rsidRPr="00967025">
        <w:rPr>
          <w:rFonts w:ascii="Times New Roman" w:hAnsi="Times New Roman" w:cs="Times New Roman"/>
        </w:rPr>
        <w:t xml:space="preserve"> windows, which framed my view over Burgess Park were removed. The configuration of </w:t>
      </w:r>
      <w:proofErr w:type="spellStart"/>
      <w:r w:rsidRPr="00967025">
        <w:rPr>
          <w:rFonts w:ascii="Times New Roman" w:hAnsi="Times New Roman" w:cs="Times New Roman"/>
        </w:rPr>
        <w:t>Southwark</w:t>
      </w:r>
      <w:proofErr w:type="spellEnd"/>
      <w:r w:rsidRPr="00967025">
        <w:rPr>
          <w:rFonts w:ascii="Times New Roman" w:hAnsi="Times New Roman" w:cs="Times New Roman"/>
        </w:rPr>
        <w:t xml:space="preserve"> Council’s new double-glazed units completely ignored the 1960’s design: three picture windows were replaced by six narrow ones, whose plastic frames are double the width of the originals, and the sills so high that I could no longer step out onto my balcony, to the edge of the building-line as my lease showed, and perform my duty of repairing and maintaining my property. Arguing that </w:t>
      </w:r>
      <w:r w:rsidRPr="00967025">
        <w:rPr>
          <w:rFonts w:ascii="Times New Roman" w:hAnsi="Times New Roman" w:cs="Times New Roman"/>
          <w:i/>
        </w:rPr>
        <w:t xml:space="preserve">they </w:t>
      </w:r>
      <w:r w:rsidRPr="00967025">
        <w:rPr>
          <w:rFonts w:ascii="Times New Roman" w:hAnsi="Times New Roman" w:cs="Times New Roman"/>
        </w:rPr>
        <w:t xml:space="preserve">owned the balcony – but with no evidence to support their claim – I asked </w:t>
      </w:r>
      <w:proofErr w:type="spellStart"/>
      <w:r w:rsidRPr="00967025">
        <w:rPr>
          <w:rFonts w:ascii="Times New Roman" w:hAnsi="Times New Roman" w:cs="Times New Roman"/>
        </w:rPr>
        <w:t>Southwark</w:t>
      </w:r>
      <w:proofErr w:type="spellEnd"/>
      <w:r w:rsidRPr="00967025">
        <w:rPr>
          <w:rFonts w:ascii="Times New Roman" w:hAnsi="Times New Roman" w:cs="Times New Roman"/>
        </w:rPr>
        <w:t xml:space="preserve"> Council how they would keep to their part of the contract, and repair and maintain the balcony in the future? Silence.</w:t>
      </w:r>
      <w:r w:rsidR="00782AFB" w:rsidRPr="00967025">
        <w:rPr>
          <w:rFonts w:ascii="Times New Roman" w:hAnsi="Times New Roman" w:cs="Times New Roman"/>
        </w:rPr>
        <w:t xml:space="preserve"> So this transitional space of my balcony remains between owner of free and leasehold. </w:t>
      </w:r>
    </w:p>
    <w:p w14:paraId="51C87837" w14:textId="77777777" w:rsidR="0005652A" w:rsidRPr="00967025" w:rsidRDefault="0005652A" w:rsidP="0005652A">
      <w:pPr>
        <w:spacing w:line="360" w:lineRule="auto"/>
        <w:rPr>
          <w:rFonts w:ascii="Times New Roman" w:hAnsi="Times New Roman" w:cs="Times New Roman"/>
        </w:rPr>
      </w:pPr>
    </w:p>
    <w:p w14:paraId="431F8A78" w14:textId="77777777" w:rsidR="00F00655" w:rsidRPr="00967025" w:rsidRDefault="00B670B4" w:rsidP="00354012">
      <w:pPr>
        <w:widowControl w:val="0"/>
        <w:autoSpaceDE w:val="0"/>
        <w:autoSpaceDN w:val="0"/>
        <w:adjustRightInd w:val="0"/>
        <w:spacing w:after="200"/>
        <w:rPr>
          <w:rFonts w:ascii="Times New Roman" w:hAnsi="Times New Roman" w:cs="Times New Roman"/>
        </w:rPr>
      </w:pPr>
      <w:r w:rsidRPr="00967025">
        <w:rPr>
          <w:rFonts w:ascii="Times New Roman" w:hAnsi="Times New Roman" w:cs="Times New Roman"/>
        </w:rPr>
        <w:t xml:space="preserve">* </w:t>
      </w:r>
      <w:r w:rsidR="00F00655" w:rsidRPr="00967025">
        <w:rPr>
          <w:rFonts w:ascii="Times New Roman" w:hAnsi="Times New Roman" w:cs="Times New Roman"/>
        </w:rPr>
        <w:t>The Children’s Home Laboratory</w:t>
      </w:r>
    </w:p>
    <w:p w14:paraId="00E1C733" w14:textId="4A743ACF" w:rsidR="00DD2D94" w:rsidRPr="00967025" w:rsidRDefault="00B670B4" w:rsidP="00DD2D94">
      <w:pPr>
        <w:widowControl w:val="0"/>
        <w:autoSpaceDE w:val="0"/>
        <w:autoSpaceDN w:val="0"/>
        <w:adjustRightInd w:val="0"/>
        <w:spacing w:after="80" w:line="360" w:lineRule="auto"/>
        <w:rPr>
          <w:rFonts w:ascii="Times New Roman" w:hAnsi="Times New Roman" w:cs="Times New Roman"/>
        </w:rPr>
      </w:pPr>
      <w:r w:rsidRPr="00967025">
        <w:rPr>
          <w:rFonts w:ascii="Times New Roman" w:hAnsi="Times New Roman" w:cs="Times New Roman"/>
        </w:rPr>
        <w:t xml:space="preserve">* </w:t>
      </w:r>
      <w:r w:rsidR="00F00655" w:rsidRPr="00967025">
        <w:rPr>
          <w:rFonts w:ascii="Times New Roman" w:hAnsi="Times New Roman" w:cs="Times New Roman"/>
        </w:rPr>
        <w:t xml:space="preserve">In Moscow, between 1902 and 1906, the architect Fyodor </w:t>
      </w:r>
      <w:proofErr w:type="spellStart"/>
      <w:r w:rsidR="00F00655" w:rsidRPr="00967025">
        <w:rPr>
          <w:rFonts w:ascii="Times New Roman" w:hAnsi="Times New Roman" w:cs="Times New Roman"/>
        </w:rPr>
        <w:t>Shekhtel</w:t>
      </w:r>
      <w:proofErr w:type="spellEnd"/>
      <w:r w:rsidR="00F00655" w:rsidRPr="00967025">
        <w:rPr>
          <w:rFonts w:ascii="Times New Roman" w:hAnsi="Times New Roman" w:cs="Times New Roman"/>
        </w:rPr>
        <w:t xml:space="preserve"> designed and constructed a </w:t>
      </w:r>
      <w:r w:rsidR="00AA74BC" w:rsidRPr="00967025">
        <w:rPr>
          <w:rFonts w:ascii="Times New Roman" w:hAnsi="Times New Roman" w:cs="Times New Roman"/>
        </w:rPr>
        <w:t xml:space="preserve">private home </w:t>
      </w:r>
      <w:r w:rsidR="00F00655" w:rsidRPr="00967025">
        <w:rPr>
          <w:rFonts w:ascii="Times New Roman" w:hAnsi="Times New Roman" w:cs="Times New Roman"/>
        </w:rPr>
        <w:t xml:space="preserve">for </w:t>
      </w:r>
      <w:proofErr w:type="spellStart"/>
      <w:r w:rsidR="00F00655" w:rsidRPr="00967025">
        <w:rPr>
          <w:rFonts w:ascii="Times New Roman" w:hAnsi="Times New Roman" w:cs="Times New Roman"/>
        </w:rPr>
        <w:t>Stepan</w:t>
      </w:r>
      <w:proofErr w:type="spellEnd"/>
      <w:r w:rsidR="00F00655" w:rsidRPr="00967025">
        <w:rPr>
          <w:rFonts w:ascii="Times New Roman" w:hAnsi="Times New Roman" w:cs="Times New Roman"/>
        </w:rPr>
        <w:t xml:space="preserve"> Pavlovich </w:t>
      </w:r>
      <w:proofErr w:type="spellStart"/>
      <w:r w:rsidR="00F00655" w:rsidRPr="00967025">
        <w:rPr>
          <w:rFonts w:ascii="Times New Roman" w:hAnsi="Times New Roman" w:cs="Times New Roman"/>
        </w:rPr>
        <w:t>Ryabushinsky</w:t>
      </w:r>
      <w:proofErr w:type="spellEnd"/>
      <w:r w:rsidR="00F00655" w:rsidRPr="00967025">
        <w:rPr>
          <w:rFonts w:ascii="Times New Roman" w:hAnsi="Times New Roman" w:cs="Times New Roman"/>
        </w:rPr>
        <w:t>, a member of a wealthy banking family.</w:t>
      </w:r>
      <w:r w:rsidR="00F00655" w:rsidRPr="00967025">
        <w:rPr>
          <w:rStyle w:val="EndnoteReference"/>
          <w:rFonts w:ascii="Times New Roman" w:hAnsi="Times New Roman" w:cs="Times New Roman"/>
        </w:rPr>
        <w:endnoteReference w:id="28"/>
      </w:r>
      <w:r w:rsidR="00F00655" w:rsidRPr="00967025">
        <w:rPr>
          <w:rFonts w:ascii="Times New Roman" w:hAnsi="Times New Roman" w:cs="Times New Roman"/>
        </w:rPr>
        <w:t xml:space="preserve"> After the Revolution, from 1921, the villa housed a psychoanalytic nursery and children’s home. Headed by Vera Schmidt, and first named the Children’s Home Laboratory and later, from 1922, International Solidarity, the home was not only for orphans but also for children of such state and party leaders as Joseph Stalin and Mikhail Frunze.</w:t>
      </w:r>
      <w:r w:rsidR="00F00655" w:rsidRPr="00967025">
        <w:rPr>
          <w:rStyle w:val="EndnoteReference"/>
          <w:rFonts w:ascii="Times New Roman" w:hAnsi="Times New Roman" w:cs="Times New Roman"/>
        </w:rPr>
        <w:endnoteReference w:id="29"/>
      </w:r>
      <w:r w:rsidR="00F00655" w:rsidRPr="00967025">
        <w:rPr>
          <w:rFonts w:ascii="Times New Roman" w:hAnsi="Times New Roman" w:cs="Times New Roman"/>
        </w:rPr>
        <w:t xml:space="preserve"> </w:t>
      </w:r>
      <w:r w:rsidR="00DD2D94" w:rsidRPr="00967025">
        <w:rPr>
          <w:rFonts w:ascii="Times New Roman" w:hAnsi="Times New Roman" w:cs="Times New Roman"/>
        </w:rPr>
        <w:t>The</w:t>
      </w:r>
      <w:r w:rsidR="00DD2D94" w:rsidRPr="00967025">
        <w:rPr>
          <w:rFonts w:ascii="Times New Roman" w:hAnsi="Times New Roman" w:cs="Times New Roman"/>
          <w:color w:val="262626"/>
        </w:rPr>
        <w:t xml:space="preserve"> live-in nursery began with 30 children, ranging in ages from one to five years, who came from a variety of social backgrounds: some were from working-class or peasant families, some had parents who were intellectuals or leading party activists.</w:t>
      </w:r>
      <w:r w:rsidR="00DD2D94" w:rsidRPr="00967025">
        <w:rPr>
          <w:rStyle w:val="EndnoteReference"/>
          <w:rFonts w:ascii="Times New Roman" w:hAnsi="Times New Roman" w:cs="Times New Roman"/>
          <w:color w:val="262626"/>
        </w:rPr>
        <w:endnoteReference w:id="30"/>
      </w:r>
      <w:r w:rsidR="0005652A" w:rsidRPr="00967025">
        <w:rPr>
          <w:rFonts w:ascii="Times New Roman" w:hAnsi="Times New Roman" w:cs="Times New Roman"/>
        </w:rPr>
        <w:t xml:space="preserve"> </w:t>
      </w:r>
      <w:r w:rsidR="00DD2D94" w:rsidRPr="00967025">
        <w:rPr>
          <w:rFonts w:ascii="Times New Roman" w:hAnsi="Times New Roman" w:cs="Times New Roman"/>
        </w:rPr>
        <w:t xml:space="preserve">The State Psychoanalytic Institute, whose activities included an outpatient department, lectures, workshops and publications, was also located in the house, from its founding in 1923 by psychoanalysts Otto Schmidt, Ivan </w:t>
      </w:r>
      <w:proofErr w:type="spellStart"/>
      <w:r w:rsidR="00DD2D94" w:rsidRPr="00967025">
        <w:rPr>
          <w:rFonts w:ascii="Times New Roman" w:hAnsi="Times New Roman" w:cs="Times New Roman"/>
        </w:rPr>
        <w:t>Ermakov</w:t>
      </w:r>
      <w:proofErr w:type="spellEnd"/>
      <w:r w:rsidR="00DD2D94" w:rsidRPr="00967025">
        <w:rPr>
          <w:rFonts w:ascii="Times New Roman" w:hAnsi="Times New Roman" w:cs="Times New Roman"/>
        </w:rPr>
        <w:t xml:space="preserve"> and Alexander Luria, until it was closed by Stalin in August 1925.</w:t>
      </w:r>
      <w:r w:rsidR="00DD2D94" w:rsidRPr="00967025">
        <w:rPr>
          <w:rStyle w:val="EndnoteReference"/>
          <w:rFonts w:ascii="Times New Roman" w:hAnsi="Times New Roman" w:cs="Times New Roman"/>
        </w:rPr>
        <w:endnoteReference w:id="31"/>
      </w:r>
    </w:p>
    <w:p w14:paraId="70A3B2E3" w14:textId="77777777" w:rsidR="00DD2D94" w:rsidRPr="00967025" w:rsidRDefault="00DD2D94" w:rsidP="00DD2D94">
      <w:pPr>
        <w:spacing w:line="360" w:lineRule="auto"/>
        <w:rPr>
          <w:rFonts w:ascii="Times New Roman" w:hAnsi="Times New Roman" w:cs="Times New Roman"/>
        </w:rPr>
      </w:pPr>
    </w:p>
    <w:p w14:paraId="019047B2" w14:textId="01066A24" w:rsidR="00782AFB" w:rsidRPr="00967025" w:rsidRDefault="00F00655" w:rsidP="00F00655">
      <w:pPr>
        <w:spacing w:line="360" w:lineRule="auto"/>
        <w:rPr>
          <w:rFonts w:ascii="Times New Roman" w:hAnsi="Times New Roman" w:cs="Times New Roman"/>
          <w:color w:val="000000"/>
        </w:rPr>
      </w:pPr>
      <w:r w:rsidRPr="00967025">
        <w:rPr>
          <w:rFonts w:ascii="Times New Roman" w:hAnsi="Times New Roman" w:cs="Times New Roman"/>
        </w:rPr>
        <w:t>According to the secretary of the Russian Psychoanalytic Society, ‘Our psychoanalytic society was on the mansion’s ground floor and its first floor housed the “psychoanalytic nursery school”.’</w:t>
      </w:r>
      <w:r w:rsidRPr="00967025">
        <w:rPr>
          <w:rStyle w:val="EndnoteReference"/>
          <w:rFonts w:ascii="Times New Roman" w:hAnsi="Times New Roman" w:cs="Times New Roman"/>
        </w:rPr>
        <w:endnoteReference w:id="32"/>
      </w:r>
      <w:r w:rsidRPr="00967025">
        <w:rPr>
          <w:rFonts w:ascii="Times New Roman" w:hAnsi="Times New Roman" w:cs="Times New Roman"/>
        </w:rPr>
        <w:t xml:space="preserve"> </w:t>
      </w:r>
      <w:r w:rsidR="00AA74BC" w:rsidRPr="00967025">
        <w:rPr>
          <w:rFonts w:ascii="Times New Roman" w:hAnsi="Times New Roman" w:cs="Times New Roman"/>
        </w:rPr>
        <w:t xml:space="preserve">* </w:t>
      </w:r>
      <w:r w:rsidRPr="00967025">
        <w:rPr>
          <w:rFonts w:ascii="Times New Roman" w:hAnsi="Times New Roman" w:cs="Times New Roman"/>
        </w:rPr>
        <w:t>Another ex-occupant recalls: ‘At the beginning, the nursery was a day-and-night residency, but in the autumn of 1926 a plywood partition was installed across the stairway, and children started to come just during the day and only to the first floor.’</w:t>
      </w:r>
      <w:r w:rsidRPr="00967025">
        <w:rPr>
          <w:rStyle w:val="EndnoteReference"/>
          <w:rFonts w:ascii="Times New Roman" w:hAnsi="Times New Roman" w:cs="Times New Roman"/>
        </w:rPr>
        <w:endnoteReference w:id="33"/>
      </w:r>
      <w:r w:rsidRPr="00967025">
        <w:rPr>
          <w:rFonts w:ascii="Times New Roman" w:hAnsi="Times New Roman" w:cs="Times New Roman"/>
        </w:rPr>
        <w:t xml:space="preserve"> The dining room with a long table and benches is recollected as having been on the first floor and the room near the balcony housing the medical aid point,</w:t>
      </w:r>
      <w:r w:rsidRPr="00967025">
        <w:rPr>
          <w:rStyle w:val="EndnoteReference"/>
          <w:rFonts w:ascii="Times New Roman" w:hAnsi="Times New Roman" w:cs="Times New Roman"/>
        </w:rPr>
        <w:endnoteReference w:id="34"/>
      </w:r>
      <w:r w:rsidRPr="00967025">
        <w:rPr>
          <w:rFonts w:ascii="Times New Roman" w:hAnsi="Times New Roman" w:cs="Times New Roman"/>
        </w:rPr>
        <w:t xml:space="preserve"> while ‘</w:t>
      </w:r>
      <w:proofErr w:type="spellStart"/>
      <w:r w:rsidRPr="00967025">
        <w:rPr>
          <w:rFonts w:ascii="Times New Roman" w:hAnsi="Times New Roman" w:cs="Times New Roman"/>
        </w:rPr>
        <w:t>Artyom</w:t>
      </w:r>
      <w:proofErr w:type="spellEnd"/>
      <w:r w:rsidRPr="00967025">
        <w:rPr>
          <w:rFonts w:ascii="Times New Roman" w:hAnsi="Times New Roman" w:cs="Times New Roman"/>
        </w:rPr>
        <w:t xml:space="preserve"> </w:t>
      </w:r>
      <w:proofErr w:type="spellStart"/>
      <w:r w:rsidRPr="00967025">
        <w:rPr>
          <w:rFonts w:ascii="Times New Roman" w:hAnsi="Times New Roman" w:cs="Times New Roman"/>
        </w:rPr>
        <w:t>Fyodorovich</w:t>
      </w:r>
      <w:proofErr w:type="spellEnd"/>
      <w:r w:rsidRPr="00967025">
        <w:rPr>
          <w:rFonts w:ascii="Times New Roman" w:hAnsi="Times New Roman" w:cs="Times New Roman"/>
        </w:rPr>
        <w:t xml:space="preserve"> remembers </w:t>
      </w:r>
      <w:proofErr w:type="spellStart"/>
      <w:r w:rsidRPr="00967025">
        <w:rPr>
          <w:rFonts w:ascii="Times New Roman" w:hAnsi="Times New Roman" w:cs="Times New Roman"/>
        </w:rPr>
        <w:t>Annushka</w:t>
      </w:r>
      <w:proofErr w:type="spellEnd"/>
      <w:r w:rsidRPr="00967025">
        <w:rPr>
          <w:rFonts w:ascii="Times New Roman" w:hAnsi="Times New Roman" w:cs="Times New Roman"/>
        </w:rPr>
        <w:t xml:space="preserve"> </w:t>
      </w:r>
      <w:proofErr w:type="spellStart"/>
      <w:r w:rsidRPr="00967025">
        <w:rPr>
          <w:rFonts w:ascii="Times New Roman" w:hAnsi="Times New Roman" w:cs="Times New Roman"/>
        </w:rPr>
        <w:t>Albuhina</w:t>
      </w:r>
      <w:proofErr w:type="spellEnd"/>
      <w:r w:rsidRPr="00967025">
        <w:rPr>
          <w:rFonts w:ascii="Times New Roman" w:hAnsi="Times New Roman" w:cs="Times New Roman"/>
        </w:rPr>
        <w:t xml:space="preserve"> – a cook – treating children with milk in a big kitchen in the basement’.</w:t>
      </w:r>
      <w:r w:rsidRPr="00967025">
        <w:rPr>
          <w:rStyle w:val="EndnoteReference"/>
          <w:rFonts w:ascii="Times New Roman" w:hAnsi="Times New Roman" w:cs="Times New Roman"/>
        </w:rPr>
        <w:endnoteReference w:id="35"/>
      </w:r>
      <w:r w:rsidR="00782AFB" w:rsidRPr="00967025">
        <w:rPr>
          <w:rFonts w:ascii="Times New Roman" w:hAnsi="Times New Roman" w:cs="Times New Roman"/>
        </w:rPr>
        <w:t xml:space="preserve"> Could this</w:t>
      </w:r>
      <w:r w:rsidR="00782AFB" w:rsidRPr="00967025">
        <w:rPr>
          <w:rFonts w:ascii="Times New Roman" w:hAnsi="Times New Roman" w:cs="Times New Roman"/>
          <w:color w:val="000000"/>
        </w:rPr>
        <w:t xml:space="preserve"> </w:t>
      </w:r>
      <w:r w:rsidRPr="00967025">
        <w:rPr>
          <w:rFonts w:ascii="Times New Roman" w:hAnsi="Times New Roman" w:cs="Times New Roman"/>
        </w:rPr>
        <w:t xml:space="preserve">Children’s Home Laboratory, a </w:t>
      </w:r>
      <w:r w:rsidRPr="00967025">
        <w:rPr>
          <w:rFonts w:ascii="Times New Roman" w:hAnsi="Times New Roman" w:cs="Times New Roman"/>
          <w:color w:val="000000"/>
        </w:rPr>
        <w:t xml:space="preserve">transitional space </w:t>
      </w:r>
      <w:r w:rsidR="00782AFB" w:rsidRPr="00967025">
        <w:rPr>
          <w:rFonts w:ascii="Times New Roman" w:hAnsi="Times New Roman" w:cs="Times New Roman"/>
          <w:color w:val="000000"/>
        </w:rPr>
        <w:t xml:space="preserve">between inside and outside </w:t>
      </w:r>
      <w:r w:rsidRPr="00967025">
        <w:rPr>
          <w:rFonts w:ascii="Times New Roman" w:hAnsi="Times New Roman" w:cs="Times New Roman"/>
          <w:color w:val="000000"/>
        </w:rPr>
        <w:t>defined in the psychoanalytic terms of</w:t>
      </w:r>
      <w:r w:rsidR="0036347F" w:rsidRPr="00967025">
        <w:rPr>
          <w:rFonts w:ascii="Times New Roman" w:hAnsi="Times New Roman" w:cs="Times New Roman"/>
          <w:color w:val="000000"/>
        </w:rPr>
        <w:t xml:space="preserve"> D. W. </w:t>
      </w:r>
      <w:proofErr w:type="spellStart"/>
      <w:r w:rsidR="0036347F" w:rsidRPr="00967025">
        <w:rPr>
          <w:rFonts w:ascii="Times New Roman" w:hAnsi="Times New Roman" w:cs="Times New Roman"/>
          <w:color w:val="000000"/>
        </w:rPr>
        <w:t>Winnicott</w:t>
      </w:r>
      <w:proofErr w:type="spellEnd"/>
      <w:r w:rsidR="0036347F" w:rsidRPr="00967025">
        <w:rPr>
          <w:rFonts w:ascii="Times New Roman" w:hAnsi="Times New Roman" w:cs="Times New Roman"/>
          <w:color w:val="000000"/>
        </w:rPr>
        <w:t xml:space="preserve"> or André Green</w:t>
      </w:r>
      <w:r w:rsidR="00782AFB" w:rsidRPr="00967025">
        <w:rPr>
          <w:rFonts w:ascii="Times New Roman" w:hAnsi="Times New Roman" w:cs="Times New Roman"/>
          <w:color w:val="000000"/>
        </w:rPr>
        <w:t>, be described as a setting?</w:t>
      </w:r>
    </w:p>
    <w:p w14:paraId="074A61A7" w14:textId="77777777" w:rsidR="00782AFB" w:rsidRPr="00967025" w:rsidRDefault="00782AFB" w:rsidP="00F00655">
      <w:pPr>
        <w:spacing w:line="360" w:lineRule="auto"/>
        <w:rPr>
          <w:rFonts w:ascii="Times New Roman" w:hAnsi="Times New Roman" w:cs="Times New Roman"/>
          <w:color w:val="000000"/>
        </w:rPr>
      </w:pPr>
    </w:p>
    <w:p w14:paraId="5761384D" w14:textId="47B9C4F4" w:rsidR="003E0CB4" w:rsidRPr="00967025" w:rsidRDefault="003E0CB4" w:rsidP="003E0CB4">
      <w:pPr>
        <w:spacing w:line="360" w:lineRule="auto"/>
        <w:jc w:val="center"/>
        <w:rPr>
          <w:rFonts w:ascii="Times New Roman" w:hAnsi="Times New Roman" w:cs="Times New Roman"/>
          <w:color w:val="000000"/>
        </w:rPr>
      </w:pPr>
      <w:r w:rsidRPr="00967025">
        <w:rPr>
          <w:rFonts w:ascii="Times New Roman" w:hAnsi="Times New Roman" w:cs="Times New Roman"/>
          <w:color w:val="000000"/>
        </w:rPr>
        <w:t>***</w:t>
      </w:r>
    </w:p>
    <w:p w14:paraId="041009DA" w14:textId="77777777" w:rsidR="003E0CB4" w:rsidRPr="00967025" w:rsidRDefault="003E0CB4" w:rsidP="00112C44">
      <w:pPr>
        <w:spacing w:line="360" w:lineRule="auto"/>
        <w:rPr>
          <w:rFonts w:ascii="Times New Roman" w:hAnsi="Times New Roman" w:cs="Times New Roman"/>
        </w:rPr>
      </w:pPr>
    </w:p>
    <w:p w14:paraId="7FE4C4CC" w14:textId="4848565D" w:rsidR="00782AFB" w:rsidRPr="00967025" w:rsidRDefault="00782AFB" w:rsidP="00112C44">
      <w:pPr>
        <w:spacing w:line="360" w:lineRule="auto"/>
        <w:rPr>
          <w:rFonts w:ascii="Times New Roman" w:hAnsi="Times New Roman" w:cs="Times New Roman"/>
        </w:rPr>
      </w:pPr>
      <w:r w:rsidRPr="00967025">
        <w:rPr>
          <w:rFonts w:ascii="Times New Roman" w:hAnsi="Times New Roman" w:cs="Times New Roman"/>
        </w:rPr>
        <w:t>And so to conclude</w:t>
      </w:r>
      <w:r w:rsidR="00112C44" w:rsidRPr="00967025">
        <w:rPr>
          <w:rFonts w:ascii="Times New Roman" w:hAnsi="Times New Roman" w:cs="Times New Roman"/>
        </w:rPr>
        <w:t>.</w:t>
      </w:r>
      <w:r w:rsidR="002C1FD4" w:rsidRPr="00967025">
        <w:rPr>
          <w:rFonts w:ascii="Times New Roman" w:hAnsi="Times New Roman" w:cs="Times New Roman"/>
        </w:rPr>
        <w:t xml:space="preserve"> </w:t>
      </w:r>
      <w:r w:rsidRPr="00967025">
        <w:rPr>
          <w:rFonts w:ascii="Times New Roman" w:hAnsi="Times New Roman" w:cs="Times New Roman"/>
        </w:rPr>
        <w:t xml:space="preserve">The design of </w:t>
      </w:r>
      <w:proofErr w:type="spellStart"/>
      <w:r w:rsidRPr="00967025">
        <w:rPr>
          <w:rFonts w:ascii="Times New Roman" w:hAnsi="Times New Roman" w:cs="Times New Roman"/>
        </w:rPr>
        <w:t>Moisei</w:t>
      </w:r>
      <w:proofErr w:type="spellEnd"/>
      <w:r w:rsidRPr="00967025">
        <w:rPr>
          <w:rFonts w:ascii="Times New Roman" w:hAnsi="Times New Roman" w:cs="Times New Roman"/>
        </w:rPr>
        <w:t xml:space="preserve"> </w:t>
      </w:r>
      <w:proofErr w:type="spellStart"/>
      <w:r w:rsidRPr="00967025">
        <w:rPr>
          <w:rFonts w:ascii="Times New Roman" w:hAnsi="Times New Roman" w:cs="Times New Roman"/>
        </w:rPr>
        <w:t>Ginzburg</w:t>
      </w:r>
      <w:proofErr w:type="spellEnd"/>
      <w:r w:rsidRPr="00967025">
        <w:rPr>
          <w:rFonts w:ascii="Times New Roman" w:hAnsi="Times New Roman" w:cs="Times New Roman"/>
        </w:rPr>
        <w:t xml:space="preserve"> and </w:t>
      </w:r>
      <w:proofErr w:type="spellStart"/>
      <w:r w:rsidRPr="00967025">
        <w:rPr>
          <w:rFonts w:ascii="Times New Roman" w:hAnsi="Times New Roman" w:cs="Times New Roman"/>
        </w:rPr>
        <w:t>Ignatii</w:t>
      </w:r>
      <w:proofErr w:type="spellEnd"/>
      <w:r w:rsidRPr="00967025">
        <w:rPr>
          <w:rFonts w:ascii="Times New Roman" w:hAnsi="Times New Roman" w:cs="Times New Roman"/>
        </w:rPr>
        <w:t xml:space="preserve"> </w:t>
      </w:r>
      <w:proofErr w:type="spellStart"/>
      <w:r w:rsidRPr="00967025">
        <w:rPr>
          <w:rFonts w:ascii="Times New Roman" w:hAnsi="Times New Roman" w:cs="Times New Roman"/>
        </w:rPr>
        <w:t>Milinis’s</w:t>
      </w:r>
      <w:proofErr w:type="spellEnd"/>
      <w:r w:rsidRPr="00967025">
        <w:rPr>
          <w:rFonts w:ascii="Times New Roman" w:hAnsi="Times New Roman" w:cs="Times New Roman"/>
        </w:rPr>
        <w:t xml:space="preserve"> </w:t>
      </w:r>
      <w:proofErr w:type="spellStart"/>
      <w:r w:rsidRPr="00967025">
        <w:rPr>
          <w:rFonts w:ascii="Times New Roman" w:hAnsi="Times New Roman" w:cs="Times New Roman"/>
        </w:rPr>
        <w:t>Narkomfin</w:t>
      </w:r>
      <w:proofErr w:type="spellEnd"/>
      <w:r w:rsidRPr="00967025">
        <w:rPr>
          <w:rFonts w:ascii="Times New Roman" w:hAnsi="Times New Roman" w:cs="Times New Roman"/>
        </w:rPr>
        <w:t> Communal House (1928–9) in </w:t>
      </w:r>
      <w:hyperlink r:id="rId11" w:history="1">
        <w:r w:rsidRPr="00967025">
          <w:rPr>
            <w:rFonts w:ascii="Times New Roman" w:hAnsi="Times New Roman" w:cs="Times New Roman"/>
          </w:rPr>
          <w:t>Moscow</w:t>
        </w:r>
      </w:hyperlink>
      <w:r w:rsidRPr="00967025">
        <w:rPr>
          <w:rFonts w:ascii="Times New Roman" w:hAnsi="Times New Roman" w:cs="Times New Roman"/>
        </w:rPr>
        <w:t xml:space="preserve">, a social condenser of a transitional type, was influenced by Le Corbusier’s early work, but in turn inspired aspects of his </w:t>
      </w:r>
      <w:hyperlink r:id="rId12" w:history="1">
        <w:proofErr w:type="spellStart"/>
        <w:r w:rsidRPr="00967025">
          <w:rPr>
            <w:rFonts w:ascii="Times New Roman" w:hAnsi="Times New Roman" w:cs="Times New Roman"/>
            <w:i/>
            <w:iCs/>
          </w:rPr>
          <w:t>Unité</w:t>
        </w:r>
        <w:proofErr w:type="spellEnd"/>
        <w:r w:rsidRPr="00967025">
          <w:rPr>
            <w:rFonts w:ascii="Times New Roman" w:hAnsi="Times New Roman" w:cs="Times New Roman"/>
            <w:i/>
            <w:iCs/>
          </w:rPr>
          <w:t xml:space="preserve"> </w:t>
        </w:r>
        <w:proofErr w:type="spellStart"/>
        <w:r w:rsidRPr="00967025">
          <w:rPr>
            <w:rFonts w:ascii="Times New Roman" w:hAnsi="Times New Roman" w:cs="Times New Roman"/>
            <w:i/>
            <w:iCs/>
          </w:rPr>
          <w:t>d'Habitation</w:t>
        </w:r>
        <w:proofErr w:type="spellEnd"/>
      </w:hyperlink>
      <w:r w:rsidRPr="00967025">
        <w:rPr>
          <w:rFonts w:ascii="Times New Roman" w:hAnsi="Times New Roman" w:cs="Times New Roman"/>
        </w:rPr>
        <w:t xml:space="preserve"> (1947–52) constructed in Marseilles thirty years later, specifically with reference to the interlocking section and design of transitional spaces between inside and outside. Certain principles of the </w:t>
      </w:r>
      <w:proofErr w:type="spellStart"/>
      <w:r w:rsidRPr="00967025">
        <w:rPr>
          <w:rFonts w:ascii="Times New Roman" w:hAnsi="Times New Roman" w:cs="Times New Roman"/>
          <w:i/>
        </w:rPr>
        <w:t>Unité</w:t>
      </w:r>
      <w:proofErr w:type="spellEnd"/>
      <w:r w:rsidRPr="00967025">
        <w:rPr>
          <w:rFonts w:ascii="Times New Roman" w:hAnsi="Times New Roman" w:cs="Times New Roman"/>
        </w:rPr>
        <w:t xml:space="preserve"> were then adopted and adapted in some of the public housing schemes built, following the Second World War, by the Welfare State in the United Kingdom, specifically the Alton West Estate in Roehampton, London (1954</w:t>
      </w:r>
      <w:r w:rsidRPr="00967025">
        <w:rPr>
          <w:rFonts w:ascii="Times New Roman" w:hAnsi="Times New Roman" w:cs="Times New Roman"/>
        </w:rPr>
        <w:softHyphen/>
        <w:t xml:space="preserve">–8) designed by the London County Council. The transitional status of the </w:t>
      </w:r>
      <w:proofErr w:type="spellStart"/>
      <w:r w:rsidRPr="00967025">
        <w:rPr>
          <w:rFonts w:ascii="Times New Roman" w:hAnsi="Times New Roman" w:cs="Times New Roman"/>
        </w:rPr>
        <w:t>Narkomfin</w:t>
      </w:r>
      <w:proofErr w:type="spellEnd"/>
      <w:r w:rsidRPr="00967025">
        <w:rPr>
          <w:rFonts w:ascii="Times New Roman" w:hAnsi="Times New Roman" w:cs="Times New Roman"/>
        </w:rPr>
        <w:t xml:space="preserve"> came from its role in helping a bourgeois society transform into a revolutionary one, but possibly the key innovation in its design was the focus on the </w:t>
      </w:r>
      <w:r w:rsidR="00112C44" w:rsidRPr="00967025">
        <w:rPr>
          <w:rFonts w:ascii="Times New Roman" w:hAnsi="Times New Roman" w:cs="Times New Roman"/>
        </w:rPr>
        <w:t xml:space="preserve">transitional spaces of corridors not only as linking elements but places in their own right. </w:t>
      </w:r>
      <w:r w:rsidRPr="00967025">
        <w:rPr>
          <w:rFonts w:ascii="Times New Roman" w:hAnsi="Times New Roman" w:cs="Times New Roman"/>
        </w:rPr>
        <w:t xml:space="preserve">Historically, the </w:t>
      </w:r>
      <w:proofErr w:type="spellStart"/>
      <w:r w:rsidRPr="00967025">
        <w:rPr>
          <w:rFonts w:ascii="Times New Roman" w:hAnsi="Times New Roman" w:cs="Times New Roman"/>
          <w:i/>
        </w:rPr>
        <w:t>Unité</w:t>
      </w:r>
      <w:proofErr w:type="spellEnd"/>
      <w:r w:rsidRPr="00967025">
        <w:rPr>
          <w:rFonts w:ascii="Times New Roman" w:hAnsi="Times New Roman" w:cs="Times New Roman"/>
          <w:i/>
        </w:rPr>
        <w:t xml:space="preserve"> </w:t>
      </w:r>
      <w:r w:rsidR="00112C44" w:rsidRPr="00967025">
        <w:rPr>
          <w:rFonts w:ascii="Times New Roman" w:hAnsi="Times New Roman" w:cs="Times New Roman"/>
        </w:rPr>
        <w:t>and many other of Curb’s housing design develop variations on interlocking sections and interior streets, and</w:t>
      </w:r>
      <w:r w:rsidR="00112C44" w:rsidRPr="00967025">
        <w:rPr>
          <w:rFonts w:ascii="Times New Roman" w:hAnsi="Times New Roman" w:cs="Times New Roman"/>
          <w:i/>
        </w:rPr>
        <w:t xml:space="preserve"> </w:t>
      </w:r>
      <w:r w:rsidR="00112C44" w:rsidRPr="00967025">
        <w:rPr>
          <w:rFonts w:ascii="Times New Roman" w:hAnsi="Times New Roman" w:cs="Times New Roman"/>
        </w:rPr>
        <w:t>occupy</w:t>
      </w:r>
      <w:r w:rsidRPr="00967025">
        <w:rPr>
          <w:rFonts w:ascii="Times New Roman" w:hAnsi="Times New Roman" w:cs="Times New Roman"/>
        </w:rPr>
        <w:t xml:space="preserve"> a transitional space in the transformation of the social condenser from its invention in Moscow to its later reworking in London. </w:t>
      </w:r>
      <w:r w:rsidR="00112C44" w:rsidRPr="00967025">
        <w:rPr>
          <w:rFonts w:ascii="Times New Roman" w:hAnsi="Times New Roman" w:cs="Times New Roman"/>
        </w:rPr>
        <w:t>R</w:t>
      </w:r>
      <w:r w:rsidRPr="00967025">
        <w:rPr>
          <w:rFonts w:ascii="Times New Roman" w:hAnsi="Times New Roman" w:cs="Times New Roman"/>
        </w:rPr>
        <w:t>eturning to Moscow, to an Art Nouveau villa occupied in the early phase of the Soviet revolution by the Children’s Home Laboratory</w:t>
      </w:r>
      <w:r w:rsidR="00112C44" w:rsidRPr="00967025">
        <w:rPr>
          <w:rFonts w:ascii="Times New Roman" w:hAnsi="Times New Roman" w:cs="Times New Roman"/>
        </w:rPr>
        <w:t xml:space="preserve">, we find in </w:t>
      </w:r>
      <w:r w:rsidRPr="00967025">
        <w:rPr>
          <w:rFonts w:ascii="Times New Roman" w:hAnsi="Times New Roman" w:cs="Times New Roman"/>
        </w:rPr>
        <w:t xml:space="preserve">a place of experimental pedagogy, closed down by Stalin in 1924, </w:t>
      </w:r>
      <w:r w:rsidR="00112C44" w:rsidRPr="00967025">
        <w:rPr>
          <w:rFonts w:ascii="Times New Roman" w:hAnsi="Times New Roman" w:cs="Times New Roman"/>
        </w:rPr>
        <w:t>when</w:t>
      </w:r>
      <w:r w:rsidRPr="00967025">
        <w:rPr>
          <w:rFonts w:ascii="Times New Roman" w:hAnsi="Times New Roman" w:cs="Times New Roman"/>
        </w:rPr>
        <w:t xml:space="preserve"> the transitional concept of the social condenser, which inspired the </w:t>
      </w:r>
      <w:proofErr w:type="spellStart"/>
      <w:r w:rsidRPr="00967025">
        <w:rPr>
          <w:rFonts w:ascii="Times New Roman" w:hAnsi="Times New Roman" w:cs="Times New Roman"/>
        </w:rPr>
        <w:t>Narkomfin</w:t>
      </w:r>
      <w:proofErr w:type="spellEnd"/>
      <w:r w:rsidRPr="00967025">
        <w:rPr>
          <w:rFonts w:ascii="Times New Roman" w:hAnsi="Times New Roman" w:cs="Times New Roman"/>
        </w:rPr>
        <w:t>, was still in its infancy</w:t>
      </w:r>
      <w:r w:rsidR="00112C44" w:rsidRPr="00967025">
        <w:rPr>
          <w:rFonts w:ascii="Times New Roman" w:hAnsi="Times New Roman" w:cs="Times New Roman"/>
        </w:rPr>
        <w:t>. In</w:t>
      </w:r>
      <w:r w:rsidRPr="00967025">
        <w:rPr>
          <w:rFonts w:ascii="Times New Roman" w:hAnsi="Times New Roman" w:cs="Times New Roman"/>
        </w:rPr>
        <w:t xml:space="preserve"> the short time that the nursery occupied this building its presence suggested a version of the setting that was socially radical, and which takes the relation between architecture and psychoanalysis out of the context of the private dyad between analyst and </w:t>
      </w:r>
      <w:proofErr w:type="spellStart"/>
      <w:r w:rsidRPr="00967025">
        <w:rPr>
          <w:rFonts w:ascii="Times New Roman" w:hAnsi="Times New Roman" w:cs="Times New Roman"/>
        </w:rPr>
        <w:t>analysand</w:t>
      </w:r>
      <w:proofErr w:type="spellEnd"/>
      <w:r w:rsidR="00112C44" w:rsidRPr="00967025">
        <w:rPr>
          <w:rFonts w:ascii="Times New Roman" w:hAnsi="Times New Roman" w:cs="Times New Roman"/>
        </w:rPr>
        <w:t xml:space="preserve">. It allows for </w:t>
      </w:r>
      <w:r w:rsidRPr="00967025">
        <w:rPr>
          <w:rFonts w:ascii="Times New Roman" w:hAnsi="Times New Roman" w:cs="Times New Roman"/>
        </w:rPr>
        <w:t xml:space="preserve">a rethinking of the </w:t>
      </w:r>
      <w:r w:rsidR="00112C44" w:rsidRPr="00967025">
        <w:rPr>
          <w:rFonts w:ascii="Times New Roman" w:hAnsi="Times New Roman" w:cs="Times New Roman"/>
        </w:rPr>
        <w:t xml:space="preserve">architectural </w:t>
      </w:r>
      <w:r w:rsidRPr="00967025">
        <w:rPr>
          <w:rFonts w:ascii="Times New Roman" w:hAnsi="Times New Roman" w:cs="Times New Roman"/>
        </w:rPr>
        <w:t xml:space="preserve">history of the social condenser </w:t>
      </w:r>
      <w:r w:rsidR="00112C44" w:rsidRPr="00967025">
        <w:rPr>
          <w:rFonts w:ascii="Times New Roman" w:hAnsi="Times New Roman" w:cs="Times New Roman"/>
        </w:rPr>
        <w:t xml:space="preserve">from a psychoanalytic perspective, as a transitional space in terms of change over time, but also as overlap between interior and exterior, </w:t>
      </w:r>
    </w:p>
    <w:p w14:paraId="1DBD1EDA" w14:textId="77777777" w:rsidR="00354012" w:rsidRPr="00967025" w:rsidRDefault="00354012" w:rsidP="00354012">
      <w:pPr>
        <w:widowControl w:val="0"/>
        <w:autoSpaceDE w:val="0"/>
        <w:autoSpaceDN w:val="0"/>
        <w:adjustRightInd w:val="0"/>
        <w:spacing w:after="200"/>
        <w:rPr>
          <w:rFonts w:ascii="Times New Roman" w:hAnsi="Times New Roman" w:cs="Times New Roman"/>
        </w:rPr>
      </w:pPr>
    </w:p>
    <w:sectPr w:rsidR="00354012" w:rsidRPr="00967025" w:rsidSect="001C0CDB">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1B8D3" w14:textId="77777777" w:rsidR="0095264A" w:rsidRDefault="0095264A">
      <w:r>
        <w:separator/>
      </w:r>
    </w:p>
  </w:endnote>
  <w:endnote w:type="continuationSeparator" w:id="0">
    <w:p w14:paraId="184893B0" w14:textId="77777777" w:rsidR="0095264A" w:rsidRDefault="0095264A">
      <w:r>
        <w:continuationSeparator/>
      </w:r>
    </w:p>
  </w:endnote>
  <w:endnote w:id="1">
    <w:p w14:paraId="3A95FCAC" w14:textId="77777777" w:rsidR="007D6FA8" w:rsidRPr="00D26AC0" w:rsidRDefault="007D6FA8" w:rsidP="00354012">
      <w:pPr>
        <w:pStyle w:val="EndnoteText"/>
        <w:rPr>
          <w:rFonts w:asciiTheme="majorHAnsi"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Catherine Cooke, </w:t>
      </w:r>
      <w:r w:rsidRPr="00D26AC0">
        <w:rPr>
          <w:rFonts w:asciiTheme="majorHAnsi" w:hAnsiTheme="majorHAnsi"/>
          <w:i/>
          <w:sz w:val="18"/>
          <w:szCs w:val="18"/>
        </w:rPr>
        <w:t>Russian Avant-Garde: Theories of Art, Architecture and the City</w:t>
      </w:r>
      <w:r w:rsidRPr="00D26AC0">
        <w:rPr>
          <w:rFonts w:asciiTheme="majorHAnsi" w:hAnsiTheme="majorHAnsi"/>
          <w:sz w:val="18"/>
          <w:szCs w:val="18"/>
        </w:rPr>
        <w:t xml:space="preserve"> (London: Academy Editions, 1995), p. 118.</w:t>
      </w:r>
    </w:p>
    <w:p w14:paraId="270B273B" w14:textId="77777777" w:rsidR="007D6FA8" w:rsidRPr="00D26AC0" w:rsidRDefault="007D6FA8" w:rsidP="00354012">
      <w:pPr>
        <w:pStyle w:val="EndnoteText"/>
        <w:rPr>
          <w:rFonts w:asciiTheme="majorHAnsi" w:hAnsiTheme="majorHAnsi"/>
          <w:sz w:val="18"/>
          <w:szCs w:val="18"/>
        </w:rPr>
      </w:pPr>
    </w:p>
  </w:endnote>
  <w:endnote w:id="2">
    <w:p w14:paraId="71ECC69E" w14:textId="77777777" w:rsidR="007D6FA8" w:rsidRPr="00D26AC0" w:rsidRDefault="007D6FA8" w:rsidP="00354012">
      <w:pPr>
        <w:pStyle w:val="EndnoteText"/>
        <w:rPr>
          <w:rFonts w:asciiTheme="majorHAnsi" w:eastAsiaTheme="minorHAnsi" w:hAnsiTheme="majorHAnsi" w:cs="Arial"/>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Cooke, </w:t>
      </w:r>
      <w:r w:rsidRPr="00D26AC0">
        <w:rPr>
          <w:rFonts w:asciiTheme="majorHAnsi" w:hAnsiTheme="majorHAnsi"/>
          <w:i/>
          <w:sz w:val="18"/>
          <w:szCs w:val="18"/>
        </w:rPr>
        <w:t>Russian Avant-Garde</w:t>
      </w:r>
      <w:r w:rsidRPr="00D26AC0">
        <w:rPr>
          <w:rFonts w:asciiTheme="majorHAnsi" w:hAnsiTheme="majorHAnsi"/>
          <w:sz w:val="18"/>
          <w:szCs w:val="18"/>
        </w:rPr>
        <w:t xml:space="preserve">, pp. 44–5. See also Victor </w:t>
      </w:r>
      <w:proofErr w:type="spellStart"/>
      <w:r w:rsidRPr="00D26AC0">
        <w:rPr>
          <w:rFonts w:asciiTheme="majorHAnsi" w:hAnsiTheme="majorHAnsi"/>
          <w:sz w:val="18"/>
          <w:szCs w:val="18"/>
        </w:rPr>
        <w:t>Buchli</w:t>
      </w:r>
      <w:proofErr w:type="spellEnd"/>
      <w:r w:rsidRPr="00D26AC0">
        <w:rPr>
          <w:rFonts w:asciiTheme="majorHAnsi" w:hAnsiTheme="majorHAnsi"/>
          <w:sz w:val="18"/>
          <w:szCs w:val="18"/>
        </w:rPr>
        <w:t xml:space="preserve">, </w:t>
      </w:r>
      <w:r w:rsidRPr="00D26AC0">
        <w:rPr>
          <w:rFonts w:asciiTheme="majorHAnsi" w:eastAsiaTheme="minorHAnsi" w:hAnsiTheme="majorHAnsi" w:cs="Arial"/>
          <w:i/>
          <w:sz w:val="18"/>
          <w:szCs w:val="18"/>
        </w:rPr>
        <w:t xml:space="preserve">An </w:t>
      </w:r>
      <w:r w:rsidRPr="00D26AC0">
        <w:rPr>
          <w:rFonts w:asciiTheme="majorHAnsi" w:eastAsiaTheme="minorHAnsi" w:hAnsiTheme="majorHAnsi" w:cs="Arial"/>
          <w:bCs/>
          <w:i/>
          <w:sz w:val="18"/>
          <w:szCs w:val="18"/>
        </w:rPr>
        <w:t>Archaeology</w:t>
      </w:r>
      <w:r w:rsidRPr="00D26AC0">
        <w:rPr>
          <w:rFonts w:asciiTheme="majorHAnsi" w:eastAsiaTheme="minorHAnsi" w:hAnsiTheme="majorHAnsi" w:cs="Arial"/>
          <w:i/>
          <w:sz w:val="18"/>
          <w:szCs w:val="18"/>
        </w:rPr>
        <w:t xml:space="preserve"> of Socialism</w:t>
      </w:r>
      <w:r w:rsidRPr="00D26AC0">
        <w:rPr>
          <w:rFonts w:asciiTheme="majorHAnsi" w:eastAsiaTheme="minorHAnsi" w:hAnsiTheme="majorHAnsi" w:cs="Arial"/>
          <w:sz w:val="18"/>
          <w:szCs w:val="18"/>
        </w:rPr>
        <w:t>. Oxford, 1999).</w:t>
      </w:r>
    </w:p>
    <w:p w14:paraId="238C807B" w14:textId="77777777" w:rsidR="007D6FA8" w:rsidRPr="00D26AC0" w:rsidRDefault="007D6FA8" w:rsidP="00354012">
      <w:pPr>
        <w:pStyle w:val="EndnoteText"/>
        <w:rPr>
          <w:rFonts w:asciiTheme="majorHAnsi" w:hAnsiTheme="majorHAnsi"/>
          <w:sz w:val="18"/>
          <w:szCs w:val="18"/>
        </w:rPr>
      </w:pPr>
    </w:p>
  </w:endnote>
  <w:endnote w:id="3">
    <w:p w14:paraId="0B7F55D1" w14:textId="77777777" w:rsidR="007D6FA8" w:rsidRPr="00D26AC0" w:rsidRDefault="007D6FA8" w:rsidP="0031487D">
      <w:pPr>
        <w:widowControl w:val="0"/>
        <w:autoSpaceDE w:val="0"/>
        <w:autoSpaceDN w:val="0"/>
        <w:adjustRightInd w:val="0"/>
        <w:rPr>
          <w:rFonts w:asciiTheme="majorHAnsi" w:hAnsiTheme="majorHAnsi" w:cs="Courier New"/>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w:t>
      </w:r>
      <w:proofErr w:type="spellStart"/>
      <w:r w:rsidRPr="00D26AC0">
        <w:rPr>
          <w:rFonts w:asciiTheme="majorHAnsi" w:hAnsiTheme="majorHAnsi"/>
          <w:sz w:val="18"/>
          <w:szCs w:val="18"/>
        </w:rPr>
        <w:t>Buchli</w:t>
      </w:r>
      <w:proofErr w:type="spellEnd"/>
      <w:r w:rsidRPr="00D26AC0">
        <w:rPr>
          <w:rFonts w:asciiTheme="majorHAnsi" w:hAnsiTheme="majorHAnsi"/>
          <w:sz w:val="18"/>
          <w:szCs w:val="18"/>
        </w:rPr>
        <w:t xml:space="preserve"> notes that the original design was the A-1 </w:t>
      </w:r>
      <w:r w:rsidRPr="00D26AC0">
        <w:rPr>
          <w:rFonts w:asciiTheme="majorHAnsi" w:hAnsiTheme="majorHAnsi"/>
          <w:i/>
          <w:sz w:val="18"/>
          <w:szCs w:val="18"/>
        </w:rPr>
        <w:t xml:space="preserve">Don </w:t>
      </w:r>
      <w:proofErr w:type="spellStart"/>
      <w:r w:rsidRPr="00D26AC0">
        <w:rPr>
          <w:rFonts w:asciiTheme="majorHAnsi" w:hAnsiTheme="majorHAnsi"/>
          <w:i/>
          <w:sz w:val="18"/>
          <w:szCs w:val="18"/>
        </w:rPr>
        <w:t>Kommuna</w:t>
      </w:r>
      <w:proofErr w:type="spellEnd"/>
      <w:r w:rsidRPr="00D26AC0">
        <w:rPr>
          <w:rFonts w:asciiTheme="majorHAnsi" w:hAnsiTheme="majorHAnsi"/>
          <w:i/>
          <w:sz w:val="18"/>
          <w:szCs w:val="18"/>
        </w:rPr>
        <w:t xml:space="preserve"> </w:t>
      </w:r>
      <w:r w:rsidRPr="00D26AC0">
        <w:rPr>
          <w:rFonts w:asciiTheme="majorHAnsi" w:hAnsiTheme="majorHAnsi"/>
          <w:sz w:val="18"/>
          <w:szCs w:val="18"/>
        </w:rPr>
        <w:t xml:space="preserve">entered in a competition and exhibition of </w:t>
      </w:r>
      <w:r w:rsidRPr="00D26AC0">
        <w:rPr>
          <w:rFonts w:asciiTheme="majorHAnsi" w:hAnsiTheme="majorHAnsi"/>
          <w:i/>
          <w:sz w:val="18"/>
          <w:szCs w:val="18"/>
        </w:rPr>
        <w:t xml:space="preserve">Don </w:t>
      </w:r>
      <w:proofErr w:type="spellStart"/>
      <w:r w:rsidRPr="00D26AC0">
        <w:rPr>
          <w:rFonts w:asciiTheme="majorHAnsi" w:hAnsiTheme="majorHAnsi"/>
          <w:i/>
          <w:sz w:val="18"/>
          <w:szCs w:val="18"/>
        </w:rPr>
        <w:t>Kommuny</w:t>
      </w:r>
      <w:proofErr w:type="spellEnd"/>
      <w:r w:rsidRPr="00D26AC0">
        <w:rPr>
          <w:rFonts w:asciiTheme="majorHAnsi" w:hAnsiTheme="majorHAnsi"/>
          <w:sz w:val="18"/>
          <w:szCs w:val="18"/>
        </w:rPr>
        <w:t xml:space="preserve"> organized by OSA in Moscow in 1927</w:t>
      </w:r>
      <w:r w:rsidRPr="00D26AC0">
        <w:rPr>
          <w:rFonts w:asciiTheme="majorHAnsi" w:hAnsiTheme="majorHAnsi"/>
          <w:i/>
          <w:sz w:val="18"/>
          <w:szCs w:val="18"/>
        </w:rPr>
        <w:t xml:space="preserve">. </w:t>
      </w:r>
      <w:proofErr w:type="spellStart"/>
      <w:r w:rsidRPr="00D26AC0">
        <w:rPr>
          <w:rFonts w:asciiTheme="majorHAnsi" w:hAnsiTheme="majorHAnsi"/>
          <w:sz w:val="18"/>
          <w:szCs w:val="18"/>
        </w:rPr>
        <w:t>Buchli</w:t>
      </w:r>
      <w:proofErr w:type="spellEnd"/>
      <w:r w:rsidRPr="00D26AC0">
        <w:rPr>
          <w:rFonts w:asciiTheme="majorHAnsi" w:hAnsiTheme="majorHAnsi"/>
          <w:sz w:val="18"/>
          <w:szCs w:val="18"/>
        </w:rPr>
        <w:t>, ‘</w:t>
      </w:r>
      <w:proofErr w:type="spellStart"/>
      <w:r w:rsidRPr="00D26AC0">
        <w:rPr>
          <w:rFonts w:asciiTheme="majorHAnsi" w:hAnsiTheme="majorHAnsi"/>
          <w:sz w:val="18"/>
          <w:szCs w:val="18"/>
        </w:rPr>
        <w:t>Moisei</w:t>
      </w:r>
      <w:proofErr w:type="spellEnd"/>
      <w:r w:rsidRPr="00D26AC0">
        <w:rPr>
          <w:rFonts w:asciiTheme="majorHAnsi" w:hAnsiTheme="majorHAnsi"/>
          <w:sz w:val="18"/>
          <w:szCs w:val="18"/>
        </w:rPr>
        <w:t xml:space="preserve"> </w:t>
      </w:r>
      <w:proofErr w:type="spellStart"/>
      <w:r w:rsidRPr="00D26AC0">
        <w:rPr>
          <w:rFonts w:asciiTheme="majorHAnsi" w:hAnsiTheme="majorHAnsi"/>
          <w:sz w:val="18"/>
          <w:szCs w:val="18"/>
        </w:rPr>
        <w:t>Ginzburg’s</w:t>
      </w:r>
      <w:proofErr w:type="spellEnd"/>
      <w:r w:rsidRPr="00D26AC0">
        <w:rPr>
          <w:rFonts w:asciiTheme="majorHAnsi" w:hAnsiTheme="majorHAnsi"/>
          <w:sz w:val="18"/>
          <w:szCs w:val="18"/>
        </w:rPr>
        <w:t xml:space="preserve"> </w:t>
      </w:r>
      <w:proofErr w:type="spellStart"/>
      <w:r w:rsidRPr="00D26AC0">
        <w:rPr>
          <w:rFonts w:asciiTheme="majorHAnsi" w:hAnsiTheme="majorHAnsi"/>
          <w:sz w:val="18"/>
          <w:szCs w:val="18"/>
        </w:rPr>
        <w:t>Narkomfin</w:t>
      </w:r>
      <w:proofErr w:type="spellEnd"/>
      <w:r w:rsidRPr="00D26AC0">
        <w:rPr>
          <w:rFonts w:asciiTheme="majorHAnsi" w:hAnsiTheme="majorHAnsi"/>
          <w:sz w:val="18"/>
          <w:szCs w:val="18"/>
        </w:rPr>
        <w:t xml:space="preserve"> Communal House in Moscow’, p. 179, note 13. According to Gary </w:t>
      </w:r>
      <w:proofErr w:type="spellStart"/>
      <w:r w:rsidRPr="00D26AC0">
        <w:rPr>
          <w:rFonts w:asciiTheme="majorHAnsi" w:hAnsiTheme="majorHAnsi"/>
          <w:sz w:val="18"/>
          <w:szCs w:val="18"/>
        </w:rPr>
        <w:t>Berkovich</w:t>
      </w:r>
      <w:proofErr w:type="spellEnd"/>
      <w:r w:rsidRPr="00D26AC0">
        <w:rPr>
          <w:rFonts w:asciiTheme="majorHAnsi" w:hAnsiTheme="majorHAnsi"/>
          <w:sz w:val="18"/>
          <w:szCs w:val="18"/>
        </w:rPr>
        <w:t xml:space="preserve">, the architects of this 1927 design were </w:t>
      </w:r>
      <w:proofErr w:type="spellStart"/>
      <w:r w:rsidRPr="00D26AC0">
        <w:rPr>
          <w:rFonts w:asciiTheme="majorHAnsi" w:hAnsiTheme="majorHAnsi" w:cs="Verdana"/>
          <w:sz w:val="18"/>
          <w:szCs w:val="18"/>
        </w:rPr>
        <w:t>Anatolii</w:t>
      </w:r>
      <w:proofErr w:type="spellEnd"/>
      <w:r w:rsidRPr="00D26AC0">
        <w:rPr>
          <w:rFonts w:asciiTheme="majorHAnsi" w:hAnsiTheme="majorHAnsi" w:cs="Verdana"/>
          <w:sz w:val="18"/>
          <w:szCs w:val="18"/>
        </w:rPr>
        <w:t xml:space="preserve"> </w:t>
      </w:r>
      <w:proofErr w:type="spellStart"/>
      <w:r w:rsidRPr="00D26AC0">
        <w:rPr>
          <w:rFonts w:asciiTheme="majorHAnsi" w:hAnsiTheme="majorHAnsi" w:cs="Verdana"/>
          <w:sz w:val="18"/>
          <w:szCs w:val="18"/>
        </w:rPr>
        <w:t>Ladinskii</w:t>
      </w:r>
      <w:proofErr w:type="spellEnd"/>
      <w:r w:rsidRPr="00D26AC0">
        <w:rPr>
          <w:rFonts w:asciiTheme="majorHAnsi" w:hAnsiTheme="majorHAnsi" w:cs="Verdana"/>
          <w:sz w:val="18"/>
          <w:szCs w:val="18"/>
        </w:rPr>
        <w:t xml:space="preserve"> and Konstantin Ivanov, under direction of their professor Andrey </w:t>
      </w:r>
      <w:proofErr w:type="spellStart"/>
      <w:r w:rsidRPr="00D26AC0">
        <w:rPr>
          <w:rFonts w:asciiTheme="majorHAnsi" w:hAnsiTheme="majorHAnsi" w:cs="Verdana"/>
          <w:sz w:val="18"/>
          <w:szCs w:val="18"/>
        </w:rPr>
        <w:t>Ol</w:t>
      </w:r>
      <w:proofErr w:type="spellEnd"/>
      <w:r w:rsidRPr="00D26AC0">
        <w:rPr>
          <w:rFonts w:asciiTheme="majorHAnsi" w:hAnsiTheme="majorHAnsi" w:cs="Verdana"/>
          <w:sz w:val="18"/>
          <w:szCs w:val="18"/>
        </w:rPr>
        <w:t xml:space="preserve">’. See Gary </w:t>
      </w:r>
      <w:proofErr w:type="spellStart"/>
      <w:r w:rsidRPr="00D26AC0">
        <w:rPr>
          <w:rFonts w:asciiTheme="majorHAnsi" w:hAnsiTheme="majorHAnsi" w:cs="Verdana"/>
          <w:sz w:val="18"/>
          <w:szCs w:val="18"/>
        </w:rPr>
        <w:t>Berkovich</w:t>
      </w:r>
      <w:proofErr w:type="spellEnd"/>
      <w:r w:rsidRPr="00D26AC0">
        <w:rPr>
          <w:rFonts w:asciiTheme="majorHAnsi" w:hAnsiTheme="majorHAnsi" w:cs="Verdana"/>
          <w:bCs/>
          <w:sz w:val="18"/>
          <w:szCs w:val="18"/>
        </w:rPr>
        <w:t xml:space="preserve">, ‘My Constructivism’, </w:t>
      </w:r>
      <w:r w:rsidRPr="00D26AC0">
        <w:rPr>
          <w:rFonts w:asciiTheme="majorHAnsi" w:hAnsiTheme="majorHAnsi" w:cs="Courier New"/>
          <w:sz w:val="18"/>
          <w:szCs w:val="18"/>
        </w:rPr>
        <w:t>t</w:t>
      </w:r>
      <w:r w:rsidRPr="00D26AC0">
        <w:rPr>
          <w:rFonts w:asciiTheme="majorHAnsi" w:hAnsiTheme="majorHAnsi" w:cs="Verdana"/>
          <w:sz w:val="18"/>
          <w:szCs w:val="18"/>
        </w:rPr>
        <w:t xml:space="preserve">ranslated from Russian, by Gary </w:t>
      </w:r>
      <w:proofErr w:type="spellStart"/>
      <w:r w:rsidRPr="00D26AC0">
        <w:rPr>
          <w:rFonts w:asciiTheme="majorHAnsi" w:hAnsiTheme="majorHAnsi" w:cs="Verdana"/>
          <w:sz w:val="18"/>
          <w:szCs w:val="18"/>
        </w:rPr>
        <w:t>Berkovich</w:t>
      </w:r>
      <w:proofErr w:type="spellEnd"/>
      <w:r w:rsidRPr="00D26AC0">
        <w:rPr>
          <w:rFonts w:asciiTheme="majorHAnsi" w:hAnsiTheme="majorHAnsi" w:cs="Verdana"/>
          <w:sz w:val="18"/>
          <w:szCs w:val="18"/>
        </w:rPr>
        <w:t xml:space="preserve"> and David </w:t>
      </w:r>
      <w:proofErr w:type="spellStart"/>
      <w:r w:rsidRPr="00D26AC0">
        <w:rPr>
          <w:rFonts w:asciiTheme="majorHAnsi" w:hAnsiTheme="majorHAnsi" w:cs="Verdana"/>
          <w:sz w:val="18"/>
          <w:szCs w:val="18"/>
        </w:rPr>
        <w:t>Gurevich</w:t>
      </w:r>
      <w:proofErr w:type="spellEnd"/>
      <w:r w:rsidRPr="00D26AC0">
        <w:rPr>
          <w:rFonts w:asciiTheme="majorHAnsi" w:hAnsiTheme="majorHAnsi" w:cs="Verdana"/>
          <w:sz w:val="18"/>
          <w:szCs w:val="18"/>
        </w:rPr>
        <w:t xml:space="preserve">, </w:t>
      </w:r>
      <w:r w:rsidRPr="00D26AC0">
        <w:rPr>
          <w:rFonts w:asciiTheme="majorHAnsi" w:hAnsiTheme="majorHAnsi" w:cs="Verdana"/>
          <w:bCs/>
          <w:sz w:val="18"/>
          <w:szCs w:val="18"/>
        </w:rPr>
        <w:t xml:space="preserve">extracted from </w:t>
      </w:r>
      <w:r w:rsidRPr="00D26AC0">
        <w:rPr>
          <w:rFonts w:asciiTheme="majorHAnsi" w:hAnsiTheme="majorHAnsi" w:cs="Verdana"/>
          <w:sz w:val="18"/>
          <w:szCs w:val="18"/>
        </w:rPr>
        <w:t xml:space="preserve">the book of memoirs </w:t>
      </w:r>
      <w:r w:rsidRPr="00D26AC0">
        <w:rPr>
          <w:rFonts w:asciiTheme="majorHAnsi" w:hAnsiTheme="majorHAnsi" w:cs="Verdana"/>
          <w:i/>
          <w:sz w:val="18"/>
          <w:szCs w:val="18"/>
        </w:rPr>
        <w:t>Human Subjects</w:t>
      </w:r>
      <w:r w:rsidRPr="00D26AC0">
        <w:rPr>
          <w:rFonts w:asciiTheme="majorHAnsi" w:hAnsiTheme="majorHAnsi" w:cs="Verdana"/>
          <w:sz w:val="18"/>
          <w:szCs w:val="18"/>
        </w:rPr>
        <w:t>.</w:t>
      </w:r>
      <w:r w:rsidRPr="00D26AC0">
        <w:rPr>
          <w:rFonts w:asciiTheme="majorHAnsi" w:hAnsiTheme="majorHAnsi" w:cs="Courier New"/>
          <w:sz w:val="18"/>
          <w:szCs w:val="18"/>
        </w:rPr>
        <w:t xml:space="preserve"> </w:t>
      </w:r>
      <w:r w:rsidRPr="00D26AC0">
        <w:rPr>
          <w:rFonts w:asciiTheme="majorHAnsi" w:hAnsiTheme="majorHAnsi" w:cs="Verdana"/>
          <w:sz w:val="18"/>
          <w:szCs w:val="18"/>
        </w:rPr>
        <w:t xml:space="preserve">Excerpts from ‘My Constructivism’ were first published in the </w:t>
      </w:r>
      <w:r w:rsidRPr="00D26AC0">
        <w:rPr>
          <w:rFonts w:asciiTheme="majorHAnsi" w:hAnsiTheme="majorHAnsi" w:cs="Verdana"/>
          <w:i/>
          <w:sz w:val="18"/>
          <w:szCs w:val="18"/>
        </w:rPr>
        <w:t xml:space="preserve">Inland Architect </w:t>
      </w:r>
      <w:r w:rsidRPr="00D26AC0">
        <w:rPr>
          <w:rFonts w:asciiTheme="majorHAnsi" w:hAnsiTheme="majorHAnsi" w:cs="Verdana"/>
          <w:sz w:val="18"/>
          <w:szCs w:val="18"/>
        </w:rPr>
        <w:t xml:space="preserve">magazine, v. 25, n. 8 (1981) pp. 8-19. </w:t>
      </w:r>
      <w:r w:rsidRPr="00D26AC0">
        <w:rPr>
          <w:rFonts w:asciiTheme="majorHAnsi" w:hAnsiTheme="majorHAnsi"/>
          <w:i/>
          <w:sz w:val="18"/>
          <w:szCs w:val="18"/>
        </w:rPr>
        <w:t xml:space="preserve">See </w:t>
      </w:r>
      <w:hyperlink r:id="rId1" w:history="1">
        <w:r w:rsidRPr="00D26AC0">
          <w:rPr>
            <w:rStyle w:val="Hyperlink"/>
            <w:rFonts w:asciiTheme="majorHAnsi" w:hAnsiTheme="majorHAnsi"/>
            <w:color w:val="auto"/>
            <w:sz w:val="18"/>
            <w:szCs w:val="18"/>
          </w:rPr>
          <w:t>http://www.e-noosphere.com/Noosphere/En/Magazine/Default.asp?File=20080108_Berkovich.htm</w:t>
        </w:r>
      </w:hyperlink>
      <w:r w:rsidRPr="00D26AC0">
        <w:rPr>
          <w:rFonts w:asciiTheme="majorHAnsi" w:hAnsiTheme="majorHAnsi"/>
          <w:sz w:val="18"/>
          <w:szCs w:val="18"/>
        </w:rPr>
        <w:t xml:space="preserve"> (accessed 12 April 2011).</w:t>
      </w:r>
    </w:p>
    <w:p w14:paraId="2F0BE547" w14:textId="77777777" w:rsidR="007D6FA8" w:rsidRPr="00D26AC0" w:rsidRDefault="007D6FA8">
      <w:pPr>
        <w:pStyle w:val="EndnoteText"/>
        <w:rPr>
          <w:rFonts w:asciiTheme="majorHAnsi" w:hAnsiTheme="majorHAnsi"/>
          <w:sz w:val="18"/>
          <w:szCs w:val="18"/>
        </w:rPr>
      </w:pPr>
    </w:p>
  </w:endnote>
  <w:endnote w:id="4">
    <w:p w14:paraId="7667B107" w14:textId="77777777" w:rsidR="007D6FA8" w:rsidRPr="00D26AC0" w:rsidRDefault="007D6FA8" w:rsidP="00354012">
      <w:pPr>
        <w:pStyle w:val="EndnoteText"/>
        <w:rPr>
          <w:rFonts w:asciiTheme="majorHAnsi"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w:t>
      </w:r>
      <w:proofErr w:type="spellStart"/>
      <w:r w:rsidRPr="00D26AC0">
        <w:rPr>
          <w:rFonts w:asciiTheme="majorHAnsi" w:hAnsiTheme="majorHAnsi"/>
          <w:sz w:val="18"/>
          <w:szCs w:val="18"/>
        </w:rPr>
        <w:t>Buchli</w:t>
      </w:r>
      <w:proofErr w:type="spellEnd"/>
      <w:r w:rsidRPr="00D26AC0">
        <w:rPr>
          <w:rFonts w:asciiTheme="majorHAnsi" w:hAnsiTheme="majorHAnsi"/>
          <w:sz w:val="18"/>
          <w:szCs w:val="18"/>
        </w:rPr>
        <w:t>, ‘</w:t>
      </w:r>
      <w:proofErr w:type="spellStart"/>
      <w:r w:rsidRPr="00D26AC0">
        <w:rPr>
          <w:rFonts w:asciiTheme="majorHAnsi" w:hAnsiTheme="majorHAnsi"/>
          <w:sz w:val="18"/>
          <w:szCs w:val="18"/>
        </w:rPr>
        <w:t>Moisei</w:t>
      </w:r>
      <w:proofErr w:type="spellEnd"/>
      <w:r w:rsidRPr="00D26AC0">
        <w:rPr>
          <w:rFonts w:asciiTheme="majorHAnsi" w:hAnsiTheme="majorHAnsi"/>
          <w:sz w:val="18"/>
          <w:szCs w:val="18"/>
        </w:rPr>
        <w:t xml:space="preserve"> </w:t>
      </w:r>
      <w:proofErr w:type="spellStart"/>
      <w:r w:rsidRPr="00D26AC0">
        <w:rPr>
          <w:rFonts w:asciiTheme="majorHAnsi" w:hAnsiTheme="majorHAnsi"/>
          <w:sz w:val="18"/>
          <w:szCs w:val="18"/>
        </w:rPr>
        <w:t>Ginzburg’s</w:t>
      </w:r>
      <w:proofErr w:type="spellEnd"/>
      <w:r w:rsidRPr="00D26AC0">
        <w:rPr>
          <w:rFonts w:asciiTheme="majorHAnsi" w:hAnsiTheme="majorHAnsi"/>
          <w:sz w:val="18"/>
          <w:szCs w:val="18"/>
        </w:rPr>
        <w:t xml:space="preserve"> </w:t>
      </w:r>
      <w:proofErr w:type="spellStart"/>
      <w:r w:rsidRPr="00D26AC0">
        <w:rPr>
          <w:rFonts w:asciiTheme="majorHAnsi" w:hAnsiTheme="majorHAnsi"/>
          <w:sz w:val="18"/>
          <w:szCs w:val="18"/>
        </w:rPr>
        <w:t>Narkomfin</w:t>
      </w:r>
      <w:proofErr w:type="spellEnd"/>
      <w:r w:rsidRPr="00D26AC0">
        <w:rPr>
          <w:rFonts w:asciiTheme="majorHAnsi" w:hAnsiTheme="majorHAnsi"/>
          <w:sz w:val="18"/>
          <w:szCs w:val="18"/>
        </w:rPr>
        <w:t xml:space="preserve"> Communal House in Moscow’, p. 162.</w:t>
      </w:r>
    </w:p>
    <w:p w14:paraId="02FF4A64" w14:textId="77777777" w:rsidR="007D6FA8" w:rsidRPr="00D26AC0" w:rsidRDefault="007D6FA8" w:rsidP="00354012">
      <w:pPr>
        <w:pStyle w:val="EndnoteText"/>
        <w:rPr>
          <w:rFonts w:asciiTheme="majorHAnsi" w:hAnsiTheme="majorHAnsi"/>
          <w:sz w:val="18"/>
          <w:szCs w:val="18"/>
        </w:rPr>
      </w:pPr>
    </w:p>
  </w:endnote>
  <w:endnote w:id="5">
    <w:p w14:paraId="16D580B9" w14:textId="77777777" w:rsidR="007D6FA8" w:rsidRPr="00D26AC0" w:rsidRDefault="007D6FA8">
      <w:pPr>
        <w:pStyle w:val="EndnoteText"/>
        <w:rPr>
          <w:rFonts w:asciiTheme="majorHAnsi"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w:t>
      </w:r>
      <w:proofErr w:type="spellStart"/>
      <w:r w:rsidRPr="00D26AC0">
        <w:rPr>
          <w:rFonts w:asciiTheme="majorHAnsi" w:hAnsiTheme="majorHAnsi"/>
          <w:sz w:val="18"/>
          <w:szCs w:val="18"/>
        </w:rPr>
        <w:t>Buchli</w:t>
      </w:r>
      <w:proofErr w:type="spellEnd"/>
      <w:r w:rsidRPr="00D26AC0">
        <w:rPr>
          <w:rFonts w:asciiTheme="majorHAnsi" w:hAnsiTheme="majorHAnsi"/>
          <w:sz w:val="18"/>
          <w:szCs w:val="18"/>
        </w:rPr>
        <w:t>, ‘</w:t>
      </w:r>
      <w:proofErr w:type="spellStart"/>
      <w:r w:rsidRPr="00D26AC0">
        <w:rPr>
          <w:rFonts w:asciiTheme="majorHAnsi" w:hAnsiTheme="majorHAnsi"/>
          <w:sz w:val="18"/>
          <w:szCs w:val="18"/>
        </w:rPr>
        <w:t>Moisei</w:t>
      </w:r>
      <w:proofErr w:type="spellEnd"/>
      <w:r w:rsidRPr="00D26AC0">
        <w:rPr>
          <w:rFonts w:asciiTheme="majorHAnsi" w:hAnsiTheme="majorHAnsi"/>
          <w:sz w:val="18"/>
          <w:szCs w:val="18"/>
        </w:rPr>
        <w:t xml:space="preserve"> </w:t>
      </w:r>
      <w:proofErr w:type="spellStart"/>
      <w:r w:rsidRPr="00D26AC0">
        <w:rPr>
          <w:rFonts w:asciiTheme="majorHAnsi" w:hAnsiTheme="majorHAnsi"/>
          <w:sz w:val="18"/>
          <w:szCs w:val="18"/>
        </w:rPr>
        <w:t>Ginzburg’s</w:t>
      </w:r>
      <w:proofErr w:type="spellEnd"/>
      <w:r w:rsidRPr="00D26AC0">
        <w:rPr>
          <w:rFonts w:asciiTheme="majorHAnsi" w:hAnsiTheme="majorHAnsi"/>
          <w:sz w:val="18"/>
          <w:szCs w:val="18"/>
        </w:rPr>
        <w:t xml:space="preserve"> </w:t>
      </w:r>
      <w:proofErr w:type="spellStart"/>
      <w:r w:rsidRPr="00D26AC0">
        <w:rPr>
          <w:rFonts w:asciiTheme="majorHAnsi" w:hAnsiTheme="majorHAnsi"/>
          <w:sz w:val="18"/>
          <w:szCs w:val="18"/>
        </w:rPr>
        <w:t>Narkomfin</w:t>
      </w:r>
      <w:proofErr w:type="spellEnd"/>
      <w:r w:rsidRPr="00D26AC0">
        <w:rPr>
          <w:rFonts w:asciiTheme="majorHAnsi" w:hAnsiTheme="majorHAnsi"/>
          <w:sz w:val="18"/>
          <w:szCs w:val="18"/>
        </w:rPr>
        <w:t xml:space="preserve"> Communal House in Moscow’, p. 162.</w:t>
      </w:r>
    </w:p>
    <w:p w14:paraId="17B7FB00" w14:textId="77777777" w:rsidR="007D6FA8" w:rsidRPr="00D26AC0" w:rsidRDefault="007D6FA8">
      <w:pPr>
        <w:pStyle w:val="EndnoteText"/>
        <w:rPr>
          <w:rFonts w:asciiTheme="majorHAnsi" w:hAnsiTheme="majorHAnsi"/>
          <w:sz w:val="18"/>
          <w:szCs w:val="18"/>
        </w:rPr>
      </w:pPr>
    </w:p>
  </w:endnote>
  <w:endnote w:id="6">
    <w:p w14:paraId="0824E58D" w14:textId="77777777" w:rsidR="007D6FA8" w:rsidRPr="00D26AC0" w:rsidRDefault="007D6FA8" w:rsidP="00B7560D">
      <w:pPr>
        <w:pStyle w:val="EndnoteText"/>
        <w:rPr>
          <w:rFonts w:asciiTheme="majorHAnsi"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Gregorio </w:t>
      </w:r>
      <w:proofErr w:type="spellStart"/>
      <w:r w:rsidRPr="00D26AC0">
        <w:rPr>
          <w:rFonts w:asciiTheme="majorHAnsi" w:hAnsiTheme="majorHAnsi"/>
          <w:sz w:val="18"/>
          <w:szCs w:val="18"/>
        </w:rPr>
        <w:t>Kohon</w:t>
      </w:r>
      <w:proofErr w:type="spellEnd"/>
      <w:r w:rsidRPr="00D26AC0">
        <w:rPr>
          <w:rFonts w:asciiTheme="majorHAnsi" w:hAnsiTheme="majorHAnsi"/>
          <w:sz w:val="18"/>
          <w:szCs w:val="18"/>
        </w:rPr>
        <w:t xml:space="preserve"> (ed.) </w:t>
      </w:r>
      <w:r w:rsidRPr="00D26AC0">
        <w:rPr>
          <w:rFonts w:asciiTheme="majorHAnsi" w:hAnsiTheme="majorHAnsi"/>
          <w:i/>
          <w:sz w:val="18"/>
          <w:szCs w:val="18"/>
        </w:rPr>
        <w:t>The British School of Psychoanalysis: The Independent Tradition</w:t>
      </w:r>
      <w:r w:rsidRPr="00D26AC0">
        <w:rPr>
          <w:rFonts w:asciiTheme="majorHAnsi" w:hAnsiTheme="majorHAnsi"/>
          <w:sz w:val="18"/>
          <w:szCs w:val="18"/>
        </w:rPr>
        <w:t xml:space="preserve"> (London: Free Association Books, 1986) p. 20. The British School of Psychoanalysis consists of psychoanalysts belonging to the British Psycho-Analytical Society, within this society are three groups, the </w:t>
      </w:r>
      <w:proofErr w:type="spellStart"/>
      <w:r w:rsidRPr="00D26AC0">
        <w:rPr>
          <w:rFonts w:asciiTheme="majorHAnsi" w:hAnsiTheme="majorHAnsi"/>
          <w:sz w:val="18"/>
          <w:szCs w:val="18"/>
        </w:rPr>
        <w:t>Kleinian</w:t>
      </w:r>
      <w:proofErr w:type="spellEnd"/>
      <w:r w:rsidRPr="00D26AC0">
        <w:rPr>
          <w:rFonts w:asciiTheme="majorHAnsi" w:hAnsiTheme="majorHAnsi"/>
          <w:sz w:val="18"/>
          <w:szCs w:val="18"/>
        </w:rPr>
        <w:t xml:space="preserve"> Group, the ‘B’ Group (followers of Anna Freud) and the Independent Group. </w:t>
      </w:r>
    </w:p>
    <w:p w14:paraId="0A870EB2" w14:textId="77777777" w:rsidR="007D6FA8" w:rsidRPr="00D26AC0" w:rsidRDefault="007D6FA8" w:rsidP="00B7560D">
      <w:pPr>
        <w:pStyle w:val="EndnoteText"/>
        <w:rPr>
          <w:rFonts w:asciiTheme="majorHAnsi" w:hAnsiTheme="majorHAnsi"/>
          <w:sz w:val="18"/>
          <w:szCs w:val="18"/>
        </w:rPr>
      </w:pPr>
    </w:p>
  </w:endnote>
  <w:endnote w:id="7">
    <w:p w14:paraId="7A4B662D" w14:textId="77777777" w:rsidR="007D6FA8" w:rsidRPr="00D26AC0" w:rsidRDefault="007D6FA8" w:rsidP="00B7560D">
      <w:pPr>
        <w:pStyle w:val="EndnoteText"/>
        <w:rPr>
          <w:rFonts w:asciiTheme="majorHAnsi"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w:t>
      </w:r>
      <w:proofErr w:type="spellStart"/>
      <w:r w:rsidRPr="00D26AC0">
        <w:rPr>
          <w:rFonts w:asciiTheme="majorHAnsi" w:hAnsiTheme="majorHAnsi"/>
          <w:sz w:val="18"/>
          <w:szCs w:val="18"/>
        </w:rPr>
        <w:t>Winnicott</w:t>
      </w:r>
      <w:proofErr w:type="spellEnd"/>
      <w:r w:rsidRPr="00D26AC0">
        <w:rPr>
          <w:rFonts w:asciiTheme="majorHAnsi" w:hAnsiTheme="majorHAnsi"/>
          <w:sz w:val="18"/>
          <w:szCs w:val="18"/>
        </w:rPr>
        <w:t xml:space="preserve">, ‘Transitional Objects and Transitional Phenomena’, see in particular pp. 89 and 94. See also D. W. </w:t>
      </w:r>
      <w:proofErr w:type="spellStart"/>
      <w:r w:rsidRPr="00D26AC0">
        <w:rPr>
          <w:rFonts w:asciiTheme="majorHAnsi" w:hAnsiTheme="majorHAnsi"/>
          <w:sz w:val="18"/>
          <w:szCs w:val="18"/>
        </w:rPr>
        <w:t>Winnicott</w:t>
      </w:r>
      <w:proofErr w:type="spellEnd"/>
      <w:r w:rsidRPr="00D26AC0">
        <w:rPr>
          <w:rFonts w:asciiTheme="majorHAnsi" w:hAnsiTheme="majorHAnsi"/>
          <w:sz w:val="18"/>
          <w:szCs w:val="18"/>
        </w:rPr>
        <w:t xml:space="preserve">, ‘The Use of an Object’, </w:t>
      </w:r>
      <w:r w:rsidRPr="00D26AC0">
        <w:rPr>
          <w:rFonts w:asciiTheme="majorHAnsi" w:hAnsiTheme="majorHAnsi"/>
          <w:i/>
          <w:sz w:val="18"/>
          <w:szCs w:val="18"/>
        </w:rPr>
        <w:t>The International Journal of Psycho-Analysis</w:t>
      </w:r>
      <w:r w:rsidRPr="00D26AC0">
        <w:rPr>
          <w:rFonts w:asciiTheme="majorHAnsi" w:hAnsiTheme="majorHAnsi"/>
          <w:sz w:val="18"/>
          <w:szCs w:val="18"/>
        </w:rPr>
        <w:t>, v. 50 (1969) pp. 711–716.</w:t>
      </w:r>
    </w:p>
    <w:p w14:paraId="399BD04C" w14:textId="77777777" w:rsidR="007D6FA8" w:rsidRPr="00D26AC0" w:rsidRDefault="007D6FA8" w:rsidP="00B7560D">
      <w:pPr>
        <w:pStyle w:val="EndnoteText"/>
        <w:rPr>
          <w:rFonts w:asciiTheme="majorHAnsi" w:hAnsiTheme="majorHAnsi"/>
          <w:sz w:val="18"/>
          <w:szCs w:val="18"/>
        </w:rPr>
      </w:pPr>
    </w:p>
  </w:endnote>
  <w:endnote w:id="8">
    <w:p w14:paraId="2992C881" w14:textId="77777777" w:rsidR="007D6FA8" w:rsidRPr="00D26AC0" w:rsidRDefault="007D6FA8" w:rsidP="00B7560D">
      <w:pPr>
        <w:pStyle w:val="EndnoteText"/>
        <w:rPr>
          <w:rFonts w:asciiTheme="majorHAnsi"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See D. W. </w:t>
      </w:r>
      <w:proofErr w:type="spellStart"/>
      <w:r w:rsidRPr="00D26AC0">
        <w:rPr>
          <w:rFonts w:asciiTheme="majorHAnsi" w:hAnsiTheme="majorHAnsi"/>
          <w:sz w:val="18"/>
          <w:szCs w:val="18"/>
        </w:rPr>
        <w:t>Winnicott</w:t>
      </w:r>
      <w:proofErr w:type="spellEnd"/>
      <w:r w:rsidRPr="00D26AC0">
        <w:rPr>
          <w:rFonts w:asciiTheme="majorHAnsi" w:hAnsiTheme="majorHAnsi"/>
          <w:sz w:val="18"/>
          <w:szCs w:val="18"/>
        </w:rPr>
        <w:t xml:space="preserve">, ‘The Location of Cultural Experience’, </w:t>
      </w:r>
      <w:r w:rsidRPr="00D26AC0">
        <w:rPr>
          <w:rFonts w:asciiTheme="majorHAnsi" w:hAnsiTheme="majorHAnsi"/>
          <w:i/>
          <w:sz w:val="18"/>
          <w:szCs w:val="18"/>
        </w:rPr>
        <w:t>The International Journal of Psycho-Analysis</w:t>
      </w:r>
      <w:r w:rsidRPr="00D26AC0">
        <w:rPr>
          <w:rFonts w:asciiTheme="majorHAnsi" w:hAnsiTheme="majorHAnsi"/>
          <w:sz w:val="18"/>
          <w:szCs w:val="18"/>
        </w:rPr>
        <w:t xml:space="preserve">, v. 48 (1967) pp. 368–372, p. 371. See also D. W. </w:t>
      </w:r>
      <w:proofErr w:type="spellStart"/>
      <w:r w:rsidRPr="00D26AC0">
        <w:rPr>
          <w:rFonts w:asciiTheme="majorHAnsi" w:hAnsiTheme="majorHAnsi"/>
          <w:i/>
          <w:sz w:val="18"/>
          <w:szCs w:val="18"/>
        </w:rPr>
        <w:t>Winnicott</w:t>
      </w:r>
      <w:proofErr w:type="spellEnd"/>
      <w:r w:rsidRPr="00D26AC0">
        <w:rPr>
          <w:rFonts w:asciiTheme="majorHAnsi" w:hAnsiTheme="majorHAnsi"/>
          <w:i/>
          <w:sz w:val="18"/>
          <w:szCs w:val="18"/>
        </w:rPr>
        <w:t>: Playing and Reality</w:t>
      </w:r>
      <w:r w:rsidRPr="00D26AC0">
        <w:rPr>
          <w:rFonts w:asciiTheme="majorHAnsi" w:hAnsiTheme="majorHAnsi"/>
          <w:sz w:val="18"/>
          <w:szCs w:val="18"/>
        </w:rPr>
        <w:t xml:space="preserve"> (London: Routledge, 1991). </w:t>
      </w:r>
    </w:p>
    <w:p w14:paraId="7F22CEFB" w14:textId="77777777" w:rsidR="007D6FA8" w:rsidRPr="00D26AC0" w:rsidRDefault="007D6FA8" w:rsidP="00B7560D">
      <w:pPr>
        <w:pStyle w:val="EndnoteText"/>
        <w:rPr>
          <w:rFonts w:asciiTheme="majorHAnsi" w:hAnsiTheme="majorHAnsi"/>
          <w:sz w:val="18"/>
          <w:szCs w:val="18"/>
        </w:rPr>
      </w:pPr>
    </w:p>
  </w:endnote>
  <w:endnote w:id="9">
    <w:p w14:paraId="39746FED" w14:textId="77777777" w:rsidR="00BC77ED" w:rsidRPr="00D26AC0" w:rsidRDefault="00BC77ED" w:rsidP="00BC77ED">
      <w:pPr>
        <w:pStyle w:val="EndnoteText"/>
        <w:rPr>
          <w:rFonts w:asciiTheme="majorHAnsi"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For the initial designs see, Le Corbusier, </w:t>
      </w:r>
      <w:r w:rsidRPr="00D26AC0">
        <w:rPr>
          <w:rFonts w:asciiTheme="majorHAnsi" w:hAnsiTheme="majorHAnsi"/>
          <w:i/>
          <w:sz w:val="18"/>
          <w:szCs w:val="18"/>
        </w:rPr>
        <w:t>Oeuvre complete 1938–1946</w:t>
      </w:r>
      <w:r w:rsidRPr="00D26AC0">
        <w:rPr>
          <w:rFonts w:asciiTheme="majorHAnsi" w:hAnsiTheme="majorHAnsi"/>
          <w:sz w:val="18"/>
          <w:szCs w:val="18"/>
        </w:rPr>
        <w:t xml:space="preserve"> (Zurich: </w:t>
      </w:r>
      <w:proofErr w:type="spellStart"/>
      <w:r w:rsidRPr="00D26AC0">
        <w:rPr>
          <w:rFonts w:asciiTheme="majorHAnsi" w:hAnsiTheme="majorHAnsi"/>
          <w:sz w:val="18"/>
          <w:szCs w:val="18"/>
        </w:rPr>
        <w:t>publié</w:t>
      </w:r>
      <w:proofErr w:type="spellEnd"/>
      <w:r w:rsidRPr="00D26AC0">
        <w:rPr>
          <w:rFonts w:asciiTheme="majorHAnsi" w:hAnsiTheme="majorHAnsi"/>
          <w:sz w:val="18"/>
          <w:szCs w:val="18"/>
        </w:rPr>
        <w:t xml:space="preserve"> par Willy Boesiger, </w:t>
      </w:r>
      <w:proofErr w:type="spellStart"/>
      <w:r w:rsidRPr="00D26AC0">
        <w:rPr>
          <w:rFonts w:asciiTheme="majorHAnsi" w:hAnsiTheme="majorHAnsi"/>
          <w:sz w:val="18"/>
          <w:szCs w:val="18"/>
        </w:rPr>
        <w:t>architecte</w:t>
      </w:r>
      <w:proofErr w:type="spellEnd"/>
      <w:r w:rsidRPr="00D26AC0">
        <w:rPr>
          <w:rFonts w:asciiTheme="majorHAnsi" w:hAnsiTheme="majorHAnsi"/>
          <w:sz w:val="18"/>
          <w:szCs w:val="18"/>
        </w:rPr>
        <w:t xml:space="preserve">, Zurich, Les Editions </w:t>
      </w:r>
      <w:proofErr w:type="spellStart"/>
      <w:r w:rsidRPr="00D26AC0">
        <w:rPr>
          <w:rFonts w:asciiTheme="majorHAnsi" w:hAnsiTheme="majorHAnsi"/>
          <w:sz w:val="18"/>
          <w:szCs w:val="18"/>
        </w:rPr>
        <w:t>d’Architecture</w:t>
      </w:r>
      <w:proofErr w:type="spellEnd"/>
      <w:r w:rsidRPr="00D26AC0">
        <w:rPr>
          <w:rFonts w:asciiTheme="majorHAnsi" w:hAnsiTheme="majorHAnsi"/>
          <w:sz w:val="18"/>
          <w:szCs w:val="18"/>
        </w:rPr>
        <w:t xml:space="preserve"> </w:t>
      </w:r>
      <w:proofErr w:type="spellStart"/>
      <w:r w:rsidRPr="00D26AC0">
        <w:rPr>
          <w:rFonts w:asciiTheme="majorHAnsi" w:hAnsiTheme="majorHAnsi"/>
          <w:sz w:val="18"/>
          <w:szCs w:val="18"/>
        </w:rPr>
        <w:t>Erlenbach</w:t>
      </w:r>
      <w:proofErr w:type="spellEnd"/>
      <w:r w:rsidRPr="00D26AC0">
        <w:rPr>
          <w:rFonts w:asciiTheme="majorHAnsi" w:hAnsiTheme="majorHAnsi"/>
          <w:sz w:val="18"/>
          <w:szCs w:val="18"/>
        </w:rPr>
        <w:t xml:space="preserve">-Zurich, 1946), pp. 172–187. See also Alban Janson and Carsten </w:t>
      </w:r>
      <w:proofErr w:type="spellStart"/>
      <w:r w:rsidRPr="00D26AC0">
        <w:rPr>
          <w:rFonts w:asciiTheme="majorHAnsi" w:hAnsiTheme="majorHAnsi"/>
          <w:sz w:val="18"/>
          <w:szCs w:val="18"/>
        </w:rPr>
        <w:t>Krohn</w:t>
      </w:r>
      <w:proofErr w:type="spellEnd"/>
      <w:r w:rsidRPr="00D26AC0">
        <w:rPr>
          <w:rFonts w:asciiTheme="majorHAnsi" w:hAnsiTheme="majorHAnsi"/>
          <w:sz w:val="18"/>
          <w:szCs w:val="18"/>
        </w:rPr>
        <w:t>,</w:t>
      </w:r>
      <w:r w:rsidRPr="00D26AC0">
        <w:rPr>
          <w:rFonts w:asciiTheme="majorHAnsi" w:hAnsiTheme="majorHAnsi"/>
          <w:i/>
          <w:sz w:val="18"/>
          <w:szCs w:val="18"/>
        </w:rPr>
        <w:t xml:space="preserve"> Le Corbusier, </w:t>
      </w:r>
      <w:proofErr w:type="spellStart"/>
      <w:r w:rsidRPr="00D26AC0">
        <w:rPr>
          <w:rFonts w:asciiTheme="majorHAnsi" w:hAnsiTheme="majorHAnsi"/>
          <w:i/>
          <w:sz w:val="18"/>
          <w:szCs w:val="18"/>
        </w:rPr>
        <w:t>Unité</w:t>
      </w:r>
      <w:proofErr w:type="spellEnd"/>
      <w:r w:rsidRPr="00D26AC0">
        <w:rPr>
          <w:rFonts w:asciiTheme="majorHAnsi" w:hAnsiTheme="majorHAnsi"/>
          <w:i/>
          <w:sz w:val="18"/>
          <w:szCs w:val="18"/>
        </w:rPr>
        <w:t xml:space="preserve"> </w:t>
      </w:r>
      <w:proofErr w:type="spellStart"/>
      <w:r w:rsidRPr="00D26AC0">
        <w:rPr>
          <w:rFonts w:asciiTheme="majorHAnsi" w:hAnsiTheme="majorHAnsi"/>
          <w:i/>
          <w:sz w:val="18"/>
          <w:szCs w:val="18"/>
        </w:rPr>
        <w:t>d’habitation</w:t>
      </w:r>
      <w:proofErr w:type="spellEnd"/>
      <w:r w:rsidRPr="00D26AC0">
        <w:rPr>
          <w:rFonts w:asciiTheme="majorHAnsi" w:hAnsiTheme="majorHAnsi"/>
          <w:i/>
          <w:sz w:val="18"/>
          <w:szCs w:val="18"/>
        </w:rPr>
        <w:t>, Marseilles</w:t>
      </w:r>
      <w:r w:rsidRPr="00D26AC0">
        <w:rPr>
          <w:rFonts w:asciiTheme="majorHAnsi" w:hAnsiTheme="majorHAnsi"/>
          <w:sz w:val="18"/>
          <w:szCs w:val="18"/>
        </w:rPr>
        <w:t xml:space="preserve">, (London and Stuttgart: Axel </w:t>
      </w:r>
      <w:proofErr w:type="spellStart"/>
      <w:r w:rsidRPr="00D26AC0">
        <w:rPr>
          <w:rFonts w:asciiTheme="majorHAnsi" w:hAnsiTheme="majorHAnsi"/>
          <w:sz w:val="18"/>
          <w:szCs w:val="18"/>
        </w:rPr>
        <w:t>Menges</w:t>
      </w:r>
      <w:proofErr w:type="spellEnd"/>
      <w:r w:rsidRPr="00D26AC0">
        <w:rPr>
          <w:rFonts w:asciiTheme="majorHAnsi" w:hAnsiTheme="majorHAnsi"/>
          <w:sz w:val="18"/>
          <w:szCs w:val="18"/>
        </w:rPr>
        <w:t>, 2007).</w:t>
      </w:r>
    </w:p>
    <w:p w14:paraId="42F69EA8" w14:textId="77777777" w:rsidR="00BC77ED" w:rsidRPr="00D26AC0" w:rsidRDefault="00BC77ED" w:rsidP="00BC77ED">
      <w:pPr>
        <w:pStyle w:val="EndnoteText"/>
        <w:rPr>
          <w:rFonts w:asciiTheme="majorHAnsi" w:hAnsiTheme="majorHAnsi"/>
          <w:sz w:val="18"/>
          <w:szCs w:val="18"/>
        </w:rPr>
      </w:pPr>
    </w:p>
  </w:endnote>
  <w:endnote w:id="10">
    <w:p w14:paraId="1C42A82E" w14:textId="77777777" w:rsidR="007D6FA8" w:rsidRPr="00D26AC0" w:rsidRDefault="007D6FA8" w:rsidP="00C141A0">
      <w:pPr>
        <w:pStyle w:val="EndnoteText"/>
        <w:rPr>
          <w:rFonts w:asciiTheme="majorHAnsi"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Jean-Louis Cohen, </w:t>
      </w:r>
      <w:r w:rsidRPr="00D26AC0">
        <w:rPr>
          <w:rFonts w:asciiTheme="majorHAnsi" w:hAnsiTheme="majorHAnsi"/>
          <w:i/>
          <w:sz w:val="18"/>
          <w:szCs w:val="18"/>
        </w:rPr>
        <w:t>Le Corbusier and the Mystique of the USSR: Theories and Projects for Moscow 1928–1936,</w:t>
      </w:r>
      <w:r w:rsidRPr="00D26AC0">
        <w:rPr>
          <w:rFonts w:asciiTheme="majorHAnsi" w:hAnsiTheme="majorHAnsi"/>
          <w:sz w:val="18"/>
          <w:szCs w:val="18"/>
        </w:rPr>
        <w:t xml:space="preserve"> (Princeton: Princeton University Press, 1992).</w:t>
      </w:r>
      <w:r w:rsidRPr="00D26AC0">
        <w:rPr>
          <w:rFonts w:asciiTheme="majorHAnsi" w:hAnsiTheme="majorHAnsi" w:cs="Helvetica"/>
          <w:sz w:val="18"/>
          <w:szCs w:val="18"/>
        </w:rPr>
        <w:t xml:space="preserve"> </w:t>
      </w:r>
    </w:p>
    <w:p w14:paraId="443AA668" w14:textId="77777777" w:rsidR="007D6FA8" w:rsidRPr="00D26AC0" w:rsidRDefault="007D6FA8" w:rsidP="00C141A0">
      <w:pPr>
        <w:pStyle w:val="EndnoteText"/>
        <w:rPr>
          <w:rFonts w:asciiTheme="majorHAnsi" w:hAnsiTheme="majorHAnsi"/>
          <w:sz w:val="18"/>
          <w:szCs w:val="18"/>
        </w:rPr>
      </w:pPr>
    </w:p>
  </w:endnote>
  <w:endnote w:id="11">
    <w:p w14:paraId="190EB861" w14:textId="77777777" w:rsidR="007D6FA8" w:rsidRPr="00D26AC0" w:rsidRDefault="007D6FA8" w:rsidP="00C141A0">
      <w:pPr>
        <w:pStyle w:val="EndnoteText"/>
        <w:rPr>
          <w:rFonts w:asciiTheme="majorHAnsi"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Cooke, </w:t>
      </w:r>
      <w:r w:rsidRPr="00D26AC0">
        <w:rPr>
          <w:rFonts w:asciiTheme="majorHAnsi" w:hAnsiTheme="majorHAnsi"/>
          <w:i/>
          <w:sz w:val="18"/>
          <w:szCs w:val="18"/>
        </w:rPr>
        <w:t>Russian Avant-Garde</w:t>
      </w:r>
      <w:r w:rsidRPr="00D26AC0">
        <w:rPr>
          <w:rFonts w:asciiTheme="majorHAnsi" w:hAnsiTheme="majorHAnsi"/>
          <w:sz w:val="18"/>
          <w:szCs w:val="18"/>
        </w:rPr>
        <w:t xml:space="preserve">, pp. 38-9 and Cooke, </w:t>
      </w:r>
      <w:r w:rsidRPr="00D26AC0">
        <w:rPr>
          <w:rFonts w:asciiTheme="majorHAnsi" w:hAnsiTheme="majorHAnsi"/>
          <w:i/>
          <w:sz w:val="18"/>
          <w:szCs w:val="18"/>
        </w:rPr>
        <w:t xml:space="preserve">Russian Avant-Garde, </w:t>
      </w:r>
      <w:r w:rsidRPr="00D26AC0">
        <w:rPr>
          <w:rFonts w:asciiTheme="majorHAnsi" w:hAnsiTheme="majorHAnsi"/>
          <w:sz w:val="18"/>
          <w:szCs w:val="18"/>
        </w:rPr>
        <w:t>p. 122.</w:t>
      </w:r>
    </w:p>
    <w:p w14:paraId="64C4177C" w14:textId="77777777" w:rsidR="007D6FA8" w:rsidRPr="00D26AC0" w:rsidRDefault="007D6FA8" w:rsidP="00C141A0">
      <w:pPr>
        <w:pStyle w:val="EndnoteText"/>
        <w:rPr>
          <w:rFonts w:asciiTheme="majorHAnsi" w:hAnsiTheme="majorHAnsi"/>
          <w:sz w:val="18"/>
          <w:szCs w:val="18"/>
        </w:rPr>
      </w:pPr>
    </w:p>
  </w:endnote>
  <w:endnote w:id="12">
    <w:p w14:paraId="51C5DD5E" w14:textId="77777777" w:rsidR="007D6FA8" w:rsidRPr="00D26AC0" w:rsidRDefault="007D6FA8" w:rsidP="00354012">
      <w:pPr>
        <w:widowControl w:val="0"/>
        <w:autoSpaceDE w:val="0"/>
        <w:autoSpaceDN w:val="0"/>
        <w:adjustRightInd w:val="0"/>
        <w:rPr>
          <w:rFonts w:asciiTheme="majorHAnsi" w:hAnsiTheme="majorHAnsi" w:cs="Georgia"/>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For example the debt Le Corbusier’s </w:t>
      </w:r>
      <w:proofErr w:type="spellStart"/>
      <w:r w:rsidRPr="00D26AC0">
        <w:rPr>
          <w:rFonts w:asciiTheme="majorHAnsi" w:hAnsiTheme="majorHAnsi"/>
          <w:sz w:val="18"/>
          <w:szCs w:val="18"/>
        </w:rPr>
        <w:t>Unité</w:t>
      </w:r>
      <w:proofErr w:type="spellEnd"/>
      <w:r w:rsidRPr="00D26AC0">
        <w:rPr>
          <w:rFonts w:asciiTheme="majorHAnsi" w:hAnsiTheme="majorHAnsi"/>
          <w:sz w:val="18"/>
          <w:szCs w:val="18"/>
        </w:rPr>
        <w:t xml:space="preserve"> owes the </w:t>
      </w:r>
      <w:proofErr w:type="spellStart"/>
      <w:r w:rsidRPr="00D26AC0">
        <w:rPr>
          <w:rFonts w:asciiTheme="majorHAnsi" w:hAnsiTheme="majorHAnsi"/>
          <w:sz w:val="18"/>
          <w:szCs w:val="18"/>
        </w:rPr>
        <w:t>Narkomfin</w:t>
      </w:r>
      <w:proofErr w:type="spellEnd"/>
      <w:r w:rsidRPr="00D26AC0">
        <w:rPr>
          <w:rFonts w:asciiTheme="majorHAnsi" w:hAnsiTheme="majorHAnsi"/>
          <w:sz w:val="18"/>
          <w:szCs w:val="18"/>
        </w:rPr>
        <w:t xml:space="preserve"> is noted by numerous critics and historians. See also ‘</w:t>
      </w:r>
      <w:r w:rsidRPr="00D26AC0">
        <w:rPr>
          <w:rFonts w:asciiTheme="majorHAnsi" w:hAnsiTheme="majorHAnsi" w:cs="Georgia"/>
          <w:sz w:val="18"/>
          <w:szCs w:val="18"/>
        </w:rPr>
        <w:t xml:space="preserve">An interview with Richard Pare, photographer and expert on Soviet Modernist architecture’, </w:t>
      </w:r>
      <w:r w:rsidRPr="00D26AC0">
        <w:rPr>
          <w:rFonts w:asciiTheme="majorHAnsi" w:hAnsiTheme="majorHAnsi" w:cs="Arial"/>
          <w:iCs/>
          <w:sz w:val="18"/>
          <w:szCs w:val="18"/>
        </w:rPr>
        <w:t xml:space="preserve">by Tim Tower  13 November 2010. See </w:t>
      </w:r>
      <w:hyperlink r:id="rId2" w:history="1">
        <w:r w:rsidRPr="00D26AC0">
          <w:rPr>
            <w:rStyle w:val="Hyperlink"/>
            <w:rFonts w:asciiTheme="majorHAnsi" w:hAnsiTheme="majorHAnsi" w:cs="Arial"/>
            <w:iCs/>
            <w:color w:val="auto"/>
            <w:sz w:val="18"/>
            <w:szCs w:val="18"/>
          </w:rPr>
          <w:t>http://www.wsws.org/articles/2010/nov2010/pare-n13.shtml</w:t>
        </w:r>
      </w:hyperlink>
      <w:r w:rsidRPr="00D26AC0">
        <w:rPr>
          <w:rFonts w:asciiTheme="majorHAnsi" w:hAnsiTheme="majorHAnsi" w:cs="Arial"/>
          <w:iCs/>
          <w:sz w:val="18"/>
          <w:szCs w:val="18"/>
        </w:rPr>
        <w:t xml:space="preserve"> (accessed 12 April 2011).</w:t>
      </w:r>
    </w:p>
    <w:p w14:paraId="2ECA3983" w14:textId="77777777" w:rsidR="007D6FA8" w:rsidRPr="00D26AC0" w:rsidRDefault="007D6FA8" w:rsidP="00354012">
      <w:pPr>
        <w:pStyle w:val="EndnoteText"/>
        <w:rPr>
          <w:rFonts w:asciiTheme="majorHAnsi" w:hAnsiTheme="majorHAnsi"/>
          <w:sz w:val="18"/>
          <w:szCs w:val="18"/>
        </w:rPr>
      </w:pPr>
    </w:p>
  </w:endnote>
  <w:endnote w:id="13">
    <w:p w14:paraId="284331F6" w14:textId="77777777" w:rsidR="007D6FA8" w:rsidRPr="00D26AC0" w:rsidRDefault="007D6FA8" w:rsidP="00B7560D">
      <w:pPr>
        <w:pStyle w:val="EndnoteText"/>
        <w:rPr>
          <w:rFonts w:asciiTheme="majorHAnsi"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André Green, ‘Potential Space in Psychoanalysis: The Object in the Setting’, Simon A. </w:t>
      </w:r>
      <w:proofErr w:type="spellStart"/>
      <w:r w:rsidRPr="00D26AC0">
        <w:rPr>
          <w:rFonts w:asciiTheme="majorHAnsi" w:hAnsiTheme="majorHAnsi"/>
          <w:sz w:val="18"/>
          <w:szCs w:val="18"/>
        </w:rPr>
        <w:t>Grolnick</w:t>
      </w:r>
      <w:proofErr w:type="spellEnd"/>
      <w:r w:rsidRPr="00D26AC0">
        <w:rPr>
          <w:rFonts w:asciiTheme="majorHAnsi" w:hAnsiTheme="majorHAnsi"/>
          <w:sz w:val="18"/>
          <w:szCs w:val="18"/>
        </w:rPr>
        <w:t xml:space="preserve"> and Leonard </w:t>
      </w:r>
      <w:proofErr w:type="spellStart"/>
      <w:r w:rsidRPr="00D26AC0">
        <w:rPr>
          <w:rFonts w:asciiTheme="majorHAnsi" w:hAnsiTheme="majorHAnsi"/>
          <w:sz w:val="18"/>
          <w:szCs w:val="18"/>
        </w:rPr>
        <w:t>Barkin</w:t>
      </w:r>
      <w:proofErr w:type="spellEnd"/>
      <w:r w:rsidRPr="00D26AC0">
        <w:rPr>
          <w:rFonts w:asciiTheme="majorHAnsi" w:hAnsiTheme="majorHAnsi"/>
          <w:sz w:val="18"/>
          <w:szCs w:val="18"/>
        </w:rPr>
        <w:t xml:space="preserve"> (</w:t>
      </w:r>
      <w:proofErr w:type="spellStart"/>
      <w:r w:rsidRPr="00D26AC0">
        <w:rPr>
          <w:rFonts w:asciiTheme="majorHAnsi" w:hAnsiTheme="majorHAnsi"/>
          <w:sz w:val="18"/>
          <w:szCs w:val="18"/>
        </w:rPr>
        <w:t>eds</w:t>
      </w:r>
      <w:proofErr w:type="spellEnd"/>
      <w:r w:rsidRPr="00D26AC0">
        <w:rPr>
          <w:rFonts w:asciiTheme="majorHAnsi" w:hAnsiTheme="majorHAnsi"/>
          <w:sz w:val="18"/>
          <w:szCs w:val="18"/>
        </w:rPr>
        <w:t xml:space="preserve">) </w:t>
      </w:r>
      <w:r w:rsidRPr="00D26AC0">
        <w:rPr>
          <w:rFonts w:asciiTheme="majorHAnsi" w:hAnsiTheme="majorHAnsi"/>
          <w:i/>
          <w:sz w:val="18"/>
          <w:szCs w:val="18"/>
        </w:rPr>
        <w:t>Between Reality and Fantasy: Transitional Objects and Phenomena</w:t>
      </w:r>
      <w:r w:rsidRPr="00D26AC0">
        <w:rPr>
          <w:rFonts w:asciiTheme="majorHAnsi" w:hAnsiTheme="majorHAnsi"/>
          <w:sz w:val="18"/>
          <w:szCs w:val="18"/>
        </w:rPr>
        <w:t xml:space="preserve"> (New York and London: Jason Aronson Inc., 1978) pp. 169–189, p. 180.</w:t>
      </w:r>
    </w:p>
    <w:p w14:paraId="34E083D5" w14:textId="77777777" w:rsidR="007D6FA8" w:rsidRPr="00D26AC0" w:rsidRDefault="007D6FA8" w:rsidP="00B7560D">
      <w:pPr>
        <w:pStyle w:val="EndnoteText"/>
        <w:rPr>
          <w:rFonts w:asciiTheme="majorHAnsi" w:hAnsiTheme="majorHAnsi"/>
          <w:sz w:val="18"/>
          <w:szCs w:val="18"/>
        </w:rPr>
      </w:pPr>
    </w:p>
  </w:endnote>
  <w:endnote w:id="14">
    <w:p w14:paraId="242E5793" w14:textId="77777777" w:rsidR="007D6FA8" w:rsidRPr="00D26AC0" w:rsidRDefault="007D6FA8" w:rsidP="00B7560D">
      <w:pPr>
        <w:rPr>
          <w:rFonts w:asciiTheme="majorHAnsi" w:eastAsia="Times New Roman"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André Green</w:t>
      </w:r>
      <w:r w:rsidRPr="00D26AC0">
        <w:rPr>
          <w:rFonts w:asciiTheme="majorHAnsi" w:eastAsia="Times New Roman" w:hAnsiTheme="majorHAnsi"/>
          <w:sz w:val="18"/>
          <w:szCs w:val="18"/>
        </w:rPr>
        <w:t xml:space="preserve">, ‘The Analyst, Symbolization and Absence in the Analytic Setting (On Changes in Analytic Practice and Analytic Experience) – In Memory of D. W. </w:t>
      </w:r>
      <w:proofErr w:type="spellStart"/>
      <w:r w:rsidRPr="00D26AC0">
        <w:rPr>
          <w:rFonts w:asciiTheme="majorHAnsi" w:eastAsia="Times New Roman" w:hAnsiTheme="majorHAnsi"/>
          <w:sz w:val="18"/>
          <w:szCs w:val="18"/>
        </w:rPr>
        <w:t>Winnicott</w:t>
      </w:r>
      <w:proofErr w:type="spellEnd"/>
      <w:r w:rsidRPr="00D26AC0">
        <w:rPr>
          <w:rFonts w:asciiTheme="majorHAnsi" w:eastAsia="Times New Roman" w:hAnsiTheme="majorHAnsi"/>
          <w:sz w:val="18"/>
          <w:szCs w:val="18"/>
        </w:rPr>
        <w:t xml:space="preserve">’, </w:t>
      </w:r>
      <w:r w:rsidRPr="00D26AC0">
        <w:rPr>
          <w:rFonts w:asciiTheme="majorHAnsi" w:eastAsia="Times New Roman" w:hAnsiTheme="majorHAnsi"/>
          <w:i/>
          <w:sz w:val="18"/>
          <w:szCs w:val="18"/>
        </w:rPr>
        <w:t>International Journal of Psycho-Analysis</w:t>
      </w:r>
      <w:r w:rsidRPr="00D26AC0">
        <w:rPr>
          <w:rFonts w:asciiTheme="majorHAnsi" w:eastAsia="Times New Roman" w:hAnsiTheme="majorHAnsi"/>
          <w:sz w:val="18"/>
          <w:szCs w:val="18"/>
        </w:rPr>
        <w:t xml:space="preserve"> v. 56 (1975) pp. 1–22, p. 12.</w:t>
      </w:r>
    </w:p>
    <w:p w14:paraId="20E26A09" w14:textId="77777777" w:rsidR="007D6FA8" w:rsidRPr="00D26AC0" w:rsidRDefault="007D6FA8" w:rsidP="00B7560D">
      <w:pPr>
        <w:pStyle w:val="EndnoteText"/>
        <w:rPr>
          <w:rFonts w:asciiTheme="majorHAnsi" w:hAnsiTheme="majorHAnsi"/>
          <w:sz w:val="18"/>
          <w:szCs w:val="18"/>
        </w:rPr>
      </w:pPr>
    </w:p>
  </w:endnote>
  <w:endnote w:id="15">
    <w:p w14:paraId="290AA7A0" w14:textId="77777777" w:rsidR="007D6FA8" w:rsidRPr="00D26AC0" w:rsidRDefault="007D6FA8" w:rsidP="00582823">
      <w:pPr>
        <w:rPr>
          <w:rFonts w:asciiTheme="majorHAnsi"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André Green and Gregorio </w:t>
      </w:r>
      <w:proofErr w:type="spellStart"/>
      <w:r w:rsidRPr="00D26AC0">
        <w:rPr>
          <w:rFonts w:asciiTheme="majorHAnsi" w:hAnsiTheme="majorHAnsi"/>
          <w:sz w:val="18"/>
          <w:szCs w:val="18"/>
        </w:rPr>
        <w:t>Kohon</w:t>
      </w:r>
      <w:proofErr w:type="spellEnd"/>
      <w:r w:rsidRPr="00D26AC0">
        <w:rPr>
          <w:rFonts w:asciiTheme="majorHAnsi" w:hAnsiTheme="majorHAnsi"/>
          <w:sz w:val="18"/>
          <w:szCs w:val="18"/>
        </w:rPr>
        <w:t xml:space="preserve"> ‘The Greening of Psychoanalysis: André Green in Dialogues with Gregorio </w:t>
      </w:r>
      <w:proofErr w:type="spellStart"/>
      <w:r w:rsidRPr="00D26AC0">
        <w:rPr>
          <w:rFonts w:asciiTheme="majorHAnsi" w:hAnsiTheme="majorHAnsi"/>
          <w:sz w:val="18"/>
          <w:szCs w:val="18"/>
        </w:rPr>
        <w:t>Kohon</w:t>
      </w:r>
      <w:proofErr w:type="spellEnd"/>
      <w:r w:rsidRPr="00D26AC0">
        <w:rPr>
          <w:rFonts w:asciiTheme="majorHAnsi" w:hAnsiTheme="majorHAnsi"/>
          <w:sz w:val="18"/>
          <w:szCs w:val="18"/>
        </w:rPr>
        <w:t xml:space="preserve">’, Gregorio </w:t>
      </w:r>
      <w:proofErr w:type="spellStart"/>
      <w:r w:rsidRPr="00D26AC0">
        <w:rPr>
          <w:rFonts w:asciiTheme="majorHAnsi" w:hAnsiTheme="majorHAnsi"/>
          <w:sz w:val="18"/>
          <w:szCs w:val="18"/>
        </w:rPr>
        <w:t>Kohon</w:t>
      </w:r>
      <w:proofErr w:type="spellEnd"/>
      <w:r w:rsidRPr="00D26AC0">
        <w:rPr>
          <w:rFonts w:asciiTheme="majorHAnsi" w:hAnsiTheme="majorHAnsi"/>
          <w:sz w:val="18"/>
          <w:szCs w:val="18"/>
        </w:rPr>
        <w:t xml:space="preserve"> (ed.) </w:t>
      </w:r>
      <w:r w:rsidRPr="00D26AC0">
        <w:rPr>
          <w:rFonts w:asciiTheme="majorHAnsi" w:hAnsiTheme="majorHAnsi"/>
          <w:i/>
          <w:sz w:val="18"/>
          <w:szCs w:val="18"/>
        </w:rPr>
        <w:t>The Dead Mother: The Work of André Green</w:t>
      </w:r>
      <w:r w:rsidRPr="00D26AC0">
        <w:rPr>
          <w:rFonts w:asciiTheme="majorHAnsi" w:hAnsiTheme="majorHAnsi"/>
          <w:sz w:val="18"/>
          <w:szCs w:val="18"/>
        </w:rPr>
        <w:t xml:space="preserve"> (London: Routledge, published in association with the Institute of Psycho-Analysis, 1999) pp. 10–58, p. 29.</w:t>
      </w:r>
    </w:p>
    <w:p w14:paraId="18CD5C20" w14:textId="77777777" w:rsidR="007D6FA8" w:rsidRPr="00D26AC0" w:rsidRDefault="007D6FA8" w:rsidP="00582823">
      <w:pPr>
        <w:pStyle w:val="EndnoteText"/>
        <w:rPr>
          <w:rFonts w:asciiTheme="majorHAnsi" w:hAnsiTheme="majorHAnsi"/>
          <w:sz w:val="18"/>
          <w:szCs w:val="18"/>
        </w:rPr>
      </w:pPr>
    </w:p>
  </w:endnote>
  <w:endnote w:id="16">
    <w:p w14:paraId="045B9725" w14:textId="77777777" w:rsidR="0036347F" w:rsidRPr="002F7F33" w:rsidRDefault="0036347F" w:rsidP="0036347F">
      <w:pPr>
        <w:pStyle w:val="BodyText3"/>
        <w:spacing w:line="240" w:lineRule="auto"/>
        <w:rPr>
          <w:rFonts w:asciiTheme="majorHAnsi" w:hAnsiTheme="majorHAnsi"/>
          <w:sz w:val="18"/>
          <w:szCs w:val="18"/>
        </w:rPr>
      </w:pPr>
      <w:r w:rsidRPr="002F7F33">
        <w:rPr>
          <w:rStyle w:val="EndnoteReference"/>
          <w:rFonts w:asciiTheme="majorHAnsi" w:hAnsiTheme="majorHAnsi"/>
          <w:sz w:val="18"/>
          <w:szCs w:val="18"/>
        </w:rPr>
        <w:endnoteRef/>
      </w:r>
      <w:r>
        <w:rPr>
          <w:rFonts w:asciiTheme="majorHAnsi" w:hAnsiTheme="majorHAnsi"/>
          <w:sz w:val="18"/>
          <w:szCs w:val="18"/>
        </w:rPr>
        <w:t xml:space="preserve"> André Green, ‘</w:t>
      </w:r>
      <w:r w:rsidRPr="002F7F33">
        <w:rPr>
          <w:rFonts w:asciiTheme="majorHAnsi" w:hAnsiTheme="majorHAnsi"/>
          <w:sz w:val="18"/>
          <w:szCs w:val="18"/>
        </w:rPr>
        <w:t>Potential Space in Psychoanalysis: The Object in the Setting</w:t>
      </w:r>
      <w:r>
        <w:rPr>
          <w:rFonts w:asciiTheme="majorHAnsi" w:hAnsiTheme="majorHAnsi"/>
          <w:sz w:val="18"/>
          <w:szCs w:val="18"/>
        </w:rPr>
        <w:t>’,</w:t>
      </w:r>
      <w:r w:rsidRPr="002F7F33">
        <w:rPr>
          <w:rFonts w:asciiTheme="majorHAnsi" w:hAnsiTheme="majorHAnsi"/>
          <w:sz w:val="18"/>
          <w:szCs w:val="18"/>
        </w:rPr>
        <w:t xml:space="preserve"> S. A. </w:t>
      </w:r>
      <w:proofErr w:type="spellStart"/>
      <w:r w:rsidRPr="002F7F33">
        <w:rPr>
          <w:rFonts w:asciiTheme="majorHAnsi" w:hAnsiTheme="majorHAnsi"/>
          <w:sz w:val="18"/>
          <w:szCs w:val="18"/>
        </w:rPr>
        <w:t>Grolnick</w:t>
      </w:r>
      <w:proofErr w:type="spellEnd"/>
      <w:r w:rsidRPr="002F7F33">
        <w:rPr>
          <w:rFonts w:asciiTheme="majorHAnsi" w:hAnsiTheme="majorHAnsi"/>
          <w:sz w:val="18"/>
          <w:szCs w:val="18"/>
        </w:rPr>
        <w:t xml:space="preserve"> and L. </w:t>
      </w:r>
      <w:proofErr w:type="spellStart"/>
      <w:r w:rsidRPr="002F7F33">
        <w:rPr>
          <w:rFonts w:asciiTheme="majorHAnsi" w:hAnsiTheme="majorHAnsi"/>
          <w:sz w:val="18"/>
          <w:szCs w:val="18"/>
        </w:rPr>
        <w:t>Barkin</w:t>
      </w:r>
      <w:proofErr w:type="spellEnd"/>
      <w:r w:rsidRPr="002F7F33">
        <w:rPr>
          <w:rFonts w:asciiTheme="majorHAnsi" w:hAnsiTheme="majorHAnsi"/>
          <w:i/>
          <w:iCs/>
          <w:sz w:val="18"/>
          <w:szCs w:val="18"/>
        </w:rPr>
        <w:t xml:space="preserve"> </w:t>
      </w:r>
      <w:r w:rsidRPr="002F7F33">
        <w:rPr>
          <w:rFonts w:asciiTheme="majorHAnsi" w:hAnsiTheme="majorHAnsi"/>
          <w:iCs/>
          <w:sz w:val="18"/>
          <w:szCs w:val="18"/>
        </w:rPr>
        <w:t xml:space="preserve"> (</w:t>
      </w:r>
      <w:proofErr w:type="spellStart"/>
      <w:r w:rsidRPr="002F7F33">
        <w:rPr>
          <w:rFonts w:asciiTheme="majorHAnsi" w:hAnsiTheme="majorHAnsi"/>
          <w:iCs/>
          <w:sz w:val="18"/>
          <w:szCs w:val="18"/>
        </w:rPr>
        <w:t>eds</w:t>
      </w:r>
      <w:proofErr w:type="spellEnd"/>
      <w:r w:rsidRPr="002F7F33">
        <w:rPr>
          <w:rFonts w:asciiTheme="majorHAnsi" w:hAnsiTheme="majorHAnsi"/>
          <w:iCs/>
          <w:sz w:val="18"/>
          <w:szCs w:val="18"/>
        </w:rPr>
        <w:t xml:space="preserve">), </w:t>
      </w:r>
      <w:r w:rsidRPr="002F7F33">
        <w:rPr>
          <w:rFonts w:asciiTheme="majorHAnsi" w:hAnsiTheme="majorHAnsi"/>
          <w:i/>
          <w:iCs/>
          <w:sz w:val="18"/>
          <w:szCs w:val="18"/>
        </w:rPr>
        <w:t>Between Reality and Fantasy: Transitional Objects and Phenomena</w:t>
      </w:r>
      <w:r>
        <w:rPr>
          <w:rFonts w:asciiTheme="majorHAnsi" w:hAnsiTheme="majorHAnsi"/>
          <w:sz w:val="18"/>
          <w:szCs w:val="18"/>
        </w:rPr>
        <w:t xml:space="preserve"> edited by (New York and London: Routledge, 1978),</w:t>
      </w:r>
      <w:r w:rsidRPr="002F7F33">
        <w:rPr>
          <w:rFonts w:asciiTheme="majorHAnsi" w:hAnsiTheme="majorHAnsi"/>
          <w:sz w:val="18"/>
          <w:szCs w:val="18"/>
        </w:rPr>
        <w:t xml:space="preserve"> pp. 169–189, p. 180.</w:t>
      </w:r>
    </w:p>
    <w:p w14:paraId="48C20C94" w14:textId="77777777" w:rsidR="0036347F" w:rsidRPr="002F7F33" w:rsidRDefault="0036347F" w:rsidP="0036347F">
      <w:pPr>
        <w:pStyle w:val="BodyText3"/>
        <w:spacing w:line="240" w:lineRule="auto"/>
        <w:rPr>
          <w:rFonts w:asciiTheme="majorHAnsi" w:hAnsiTheme="majorHAnsi"/>
          <w:sz w:val="18"/>
          <w:szCs w:val="18"/>
        </w:rPr>
      </w:pPr>
    </w:p>
  </w:endnote>
  <w:endnote w:id="17">
    <w:p w14:paraId="0DDA1E6D" w14:textId="77777777" w:rsidR="0005652A" w:rsidRPr="00D26AC0" w:rsidRDefault="0005652A" w:rsidP="0005652A">
      <w:pPr>
        <w:rPr>
          <w:rFonts w:asciiTheme="majorHAnsi"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Green and </w:t>
      </w:r>
      <w:proofErr w:type="spellStart"/>
      <w:r w:rsidRPr="00D26AC0">
        <w:rPr>
          <w:rFonts w:asciiTheme="majorHAnsi" w:hAnsiTheme="majorHAnsi"/>
          <w:sz w:val="18"/>
          <w:szCs w:val="18"/>
        </w:rPr>
        <w:t>Kohon</w:t>
      </w:r>
      <w:proofErr w:type="spellEnd"/>
      <w:r w:rsidRPr="00D26AC0">
        <w:rPr>
          <w:rFonts w:asciiTheme="majorHAnsi" w:hAnsiTheme="majorHAnsi"/>
          <w:sz w:val="18"/>
          <w:szCs w:val="18"/>
        </w:rPr>
        <w:t>, ‘The Greening of Psychoanalysis’, p. 53.</w:t>
      </w:r>
    </w:p>
    <w:p w14:paraId="03CE0721" w14:textId="77777777" w:rsidR="0005652A" w:rsidRPr="00D26AC0" w:rsidRDefault="0005652A" w:rsidP="0005652A">
      <w:pPr>
        <w:pStyle w:val="EndnoteText"/>
        <w:rPr>
          <w:rFonts w:asciiTheme="majorHAnsi" w:hAnsiTheme="majorHAnsi"/>
          <w:sz w:val="18"/>
          <w:szCs w:val="18"/>
        </w:rPr>
      </w:pPr>
    </w:p>
  </w:endnote>
  <w:endnote w:id="18">
    <w:p w14:paraId="19590024" w14:textId="77777777" w:rsidR="007D6FA8" w:rsidRPr="00D26AC0" w:rsidRDefault="007D6FA8" w:rsidP="0067254B">
      <w:pPr>
        <w:pStyle w:val="EndnoteText"/>
        <w:rPr>
          <w:rFonts w:asciiTheme="majorHAnsi"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‘Alton Estate (W) Roehampton Lane, London, SW15’, </w:t>
      </w:r>
      <w:r w:rsidRPr="00D26AC0">
        <w:rPr>
          <w:rFonts w:asciiTheme="majorHAnsi" w:hAnsiTheme="majorHAnsi"/>
          <w:i/>
          <w:sz w:val="18"/>
          <w:szCs w:val="18"/>
        </w:rPr>
        <w:t>The Architect’s Journal</w:t>
      </w:r>
      <w:r w:rsidRPr="00D26AC0">
        <w:rPr>
          <w:rFonts w:asciiTheme="majorHAnsi" w:hAnsiTheme="majorHAnsi"/>
          <w:sz w:val="18"/>
          <w:szCs w:val="18"/>
        </w:rPr>
        <w:t xml:space="preserve"> (5 November, 1959) pp. 461-478. </w:t>
      </w:r>
    </w:p>
    <w:p w14:paraId="066724C5" w14:textId="77777777" w:rsidR="007D6FA8" w:rsidRPr="00D26AC0" w:rsidRDefault="007D6FA8" w:rsidP="0067254B">
      <w:pPr>
        <w:pStyle w:val="EndnoteText"/>
        <w:rPr>
          <w:rFonts w:asciiTheme="majorHAnsi" w:hAnsiTheme="majorHAnsi"/>
          <w:sz w:val="18"/>
          <w:szCs w:val="18"/>
        </w:rPr>
      </w:pPr>
    </w:p>
  </w:endnote>
  <w:endnote w:id="19">
    <w:p w14:paraId="3DFA5C2E" w14:textId="77777777" w:rsidR="007D6FA8" w:rsidRPr="00D26AC0" w:rsidRDefault="007D6FA8" w:rsidP="0067254B">
      <w:pPr>
        <w:pStyle w:val="EndnoteText"/>
        <w:rPr>
          <w:rFonts w:asciiTheme="majorHAnsi"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‘Housing at Priory Lane, Roehampton, SW15’, </w:t>
      </w:r>
      <w:r w:rsidRPr="00D26AC0">
        <w:rPr>
          <w:rFonts w:asciiTheme="majorHAnsi" w:hAnsiTheme="majorHAnsi"/>
          <w:i/>
          <w:sz w:val="18"/>
          <w:szCs w:val="18"/>
        </w:rPr>
        <w:t>Architectural Design</w:t>
      </w:r>
      <w:r w:rsidRPr="00D26AC0">
        <w:rPr>
          <w:rFonts w:asciiTheme="majorHAnsi" w:hAnsiTheme="majorHAnsi"/>
          <w:sz w:val="18"/>
          <w:szCs w:val="18"/>
        </w:rPr>
        <w:t xml:space="preserve"> (January 1959), pp. 7-21. </w:t>
      </w:r>
    </w:p>
    <w:p w14:paraId="48AF168B" w14:textId="77777777" w:rsidR="007D6FA8" w:rsidRPr="00D26AC0" w:rsidRDefault="007D6FA8" w:rsidP="0067254B">
      <w:pPr>
        <w:pStyle w:val="EndnoteText"/>
        <w:rPr>
          <w:rFonts w:asciiTheme="majorHAnsi" w:hAnsiTheme="majorHAnsi"/>
          <w:sz w:val="18"/>
          <w:szCs w:val="18"/>
        </w:rPr>
      </w:pPr>
    </w:p>
  </w:endnote>
  <w:endnote w:id="20">
    <w:p w14:paraId="0000B76E" w14:textId="77777777" w:rsidR="007D6FA8" w:rsidRPr="00D26AC0" w:rsidRDefault="007D6FA8" w:rsidP="0067254B">
      <w:pPr>
        <w:pStyle w:val="EndnoteText"/>
        <w:rPr>
          <w:rFonts w:asciiTheme="majorHAnsi"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Nicholas Bullock, </w:t>
      </w:r>
      <w:r w:rsidRPr="00D26AC0">
        <w:rPr>
          <w:rFonts w:asciiTheme="majorHAnsi" w:hAnsiTheme="majorHAnsi"/>
          <w:i/>
          <w:sz w:val="18"/>
          <w:szCs w:val="18"/>
        </w:rPr>
        <w:t xml:space="preserve">Building the Post-War World: Modern Architecture and Reconstruction in Britain </w:t>
      </w:r>
      <w:r w:rsidRPr="00D26AC0">
        <w:rPr>
          <w:rFonts w:asciiTheme="majorHAnsi" w:hAnsiTheme="majorHAnsi"/>
          <w:sz w:val="18"/>
          <w:szCs w:val="18"/>
        </w:rPr>
        <w:t>(London: Routledge, 2002), pp. 102–107.</w:t>
      </w:r>
    </w:p>
    <w:p w14:paraId="36899DC6" w14:textId="77777777" w:rsidR="007D6FA8" w:rsidRPr="00D26AC0" w:rsidRDefault="007D6FA8" w:rsidP="0067254B">
      <w:pPr>
        <w:pStyle w:val="EndnoteText"/>
        <w:rPr>
          <w:rFonts w:asciiTheme="majorHAnsi" w:hAnsiTheme="majorHAnsi"/>
          <w:sz w:val="18"/>
          <w:szCs w:val="18"/>
        </w:rPr>
      </w:pPr>
    </w:p>
  </w:endnote>
  <w:endnote w:id="21">
    <w:p w14:paraId="58769237" w14:textId="77777777" w:rsidR="007D6FA8" w:rsidRPr="00D26AC0" w:rsidRDefault="007D6FA8" w:rsidP="00460E33">
      <w:pPr>
        <w:pStyle w:val="EndnoteText"/>
        <w:rPr>
          <w:rFonts w:asciiTheme="majorHAnsi" w:hAnsiTheme="majorHAnsi"/>
          <w:sz w:val="18"/>
          <w:szCs w:val="18"/>
        </w:rPr>
      </w:pPr>
      <w:r w:rsidRPr="00D26AC0">
        <w:rPr>
          <w:rStyle w:val="EndnoteReference"/>
          <w:rFonts w:asciiTheme="majorHAnsi" w:hAnsiTheme="majorHAnsi"/>
          <w:sz w:val="18"/>
          <w:szCs w:val="18"/>
        </w:rPr>
        <w:endnoteRef/>
      </w:r>
      <w:r w:rsidRPr="00D26AC0">
        <w:rPr>
          <w:rFonts w:asciiTheme="majorHAnsi" w:hAnsiTheme="majorHAnsi"/>
          <w:sz w:val="18"/>
          <w:szCs w:val="18"/>
        </w:rPr>
        <w:t xml:space="preserve"> </w:t>
      </w:r>
      <w:proofErr w:type="spellStart"/>
      <w:r w:rsidRPr="00D26AC0">
        <w:rPr>
          <w:rFonts w:asciiTheme="majorHAnsi" w:hAnsiTheme="majorHAnsi"/>
          <w:sz w:val="18"/>
          <w:szCs w:val="18"/>
        </w:rPr>
        <w:t>Glendinning</w:t>
      </w:r>
      <w:proofErr w:type="spellEnd"/>
      <w:r w:rsidRPr="00D26AC0">
        <w:rPr>
          <w:rFonts w:asciiTheme="majorHAnsi" w:hAnsiTheme="majorHAnsi"/>
          <w:sz w:val="18"/>
          <w:szCs w:val="18"/>
        </w:rPr>
        <w:t xml:space="preserve"> and Muthesius, </w:t>
      </w:r>
      <w:r w:rsidRPr="00D26AC0">
        <w:rPr>
          <w:rFonts w:asciiTheme="majorHAnsi" w:hAnsiTheme="majorHAnsi"/>
          <w:i/>
          <w:sz w:val="18"/>
          <w:szCs w:val="18"/>
        </w:rPr>
        <w:t xml:space="preserve">Tower Block, </w:t>
      </w:r>
      <w:r w:rsidRPr="00D26AC0">
        <w:rPr>
          <w:rFonts w:asciiTheme="majorHAnsi" w:hAnsiTheme="majorHAnsi"/>
          <w:sz w:val="18"/>
          <w:szCs w:val="18"/>
        </w:rPr>
        <w:t>p. 58.</w:t>
      </w:r>
    </w:p>
    <w:p w14:paraId="57D43513" w14:textId="77777777" w:rsidR="007D6FA8" w:rsidRPr="00D26AC0" w:rsidRDefault="007D6FA8" w:rsidP="00460E33">
      <w:pPr>
        <w:pStyle w:val="EndnoteText"/>
        <w:rPr>
          <w:rFonts w:asciiTheme="majorHAnsi" w:hAnsiTheme="majorHAnsi"/>
          <w:sz w:val="18"/>
          <w:szCs w:val="18"/>
        </w:rPr>
      </w:pPr>
    </w:p>
  </w:endnote>
  <w:endnote w:id="22">
    <w:p w14:paraId="030505BA" w14:textId="77777777" w:rsidR="007D6FA8" w:rsidRDefault="007D6FA8" w:rsidP="00197247">
      <w:pPr>
        <w:pStyle w:val="EndnoteText"/>
        <w:rPr>
          <w:rFonts w:asciiTheme="majorHAnsi" w:hAnsiTheme="majorHAnsi"/>
          <w:color w:val="000000"/>
          <w:sz w:val="18"/>
          <w:szCs w:val="18"/>
        </w:rPr>
      </w:pPr>
      <w:r w:rsidRPr="00575134">
        <w:rPr>
          <w:rStyle w:val="EndnoteReference"/>
          <w:rFonts w:eastAsia="Times"/>
        </w:rPr>
        <w:endnoteRef/>
      </w:r>
      <w:r w:rsidRPr="00575134">
        <w:t xml:space="preserve"> </w:t>
      </w:r>
      <w:r w:rsidRPr="00575134">
        <w:rPr>
          <w:rFonts w:asciiTheme="majorHAnsi" w:hAnsiTheme="majorHAnsi"/>
          <w:color w:val="000000"/>
          <w:sz w:val="18"/>
          <w:szCs w:val="18"/>
        </w:rPr>
        <w:t xml:space="preserve">See for example, Nixon, </w:t>
      </w:r>
      <w:r>
        <w:rPr>
          <w:rFonts w:asciiTheme="majorHAnsi" w:hAnsiTheme="majorHAnsi"/>
          <w:color w:val="000000"/>
          <w:sz w:val="18"/>
          <w:szCs w:val="18"/>
        </w:rPr>
        <w:t>‘</w:t>
      </w:r>
      <w:r w:rsidRPr="00575134">
        <w:rPr>
          <w:rFonts w:asciiTheme="majorHAnsi" w:hAnsiTheme="majorHAnsi"/>
          <w:color w:val="000000"/>
          <w:sz w:val="18"/>
          <w:szCs w:val="18"/>
        </w:rPr>
        <w:t>On the Couch</w:t>
      </w:r>
      <w:r>
        <w:rPr>
          <w:rFonts w:asciiTheme="majorHAnsi" w:hAnsiTheme="majorHAnsi"/>
          <w:color w:val="000000"/>
          <w:sz w:val="18"/>
          <w:szCs w:val="18"/>
        </w:rPr>
        <w:t>’</w:t>
      </w:r>
      <w:r w:rsidRPr="00575134">
        <w:rPr>
          <w:rFonts w:asciiTheme="majorHAnsi" w:hAnsiTheme="majorHAnsi"/>
          <w:color w:val="000000"/>
          <w:sz w:val="18"/>
          <w:szCs w:val="18"/>
        </w:rPr>
        <w:t>, p. 40.</w:t>
      </w:r>
    </w:p>
    <w:p w14:paraId="72B972A8" w14:textId="77777777" w:rsidR="007D6FA8" w:rsidRPr="00852021" w:rsidRDefault="007D6FA8" w:rsidP="00197247">
      <w:pPr>
        <w:pStyle w:val="EndnoteText"/>
      </w:pPr>
    </w:p>
  </w:endnote>
  <w:endnote w:id="23">
    <w:p w14:paraId="4F7078D0" w14:textId="59EF22E2" w:rsidR="007D6FA8" w:rsidRPr="00CD5778" w:rsidRDefault="007D6FA8" w:rsidP="00197247">
      <w:pPr>
        <w:pStyle w:val="EndnoteText"/>
        <w:rPr>
          <w:rFonts w:asciiTheme="majorHAnsi" w:hAnsiTheme="majorHAnsi"/>
          <w:sz w:val="18"/>
          <w:szCs w:val="18"/>
        </w:rPr>
      </w:pPr>
      <w:r w:rsidRPr="00CD5778">
        <w:rPr>
          <w:rStyle w:val="EndnoteReference"/>
          <w:rFonts w:asciiTheme="majorHAnsi" w:eastAsia="Times" w:hAnsiTheme="majorHAnsi"/>
          <w:sz w:val="18"/>
          <w:szCs w:val="18"/>
        </w:rPr>
        <w:endnoteRef/>
      </w:r>
      <w:r w:rsidRPr="00CD5778">
        <w:rPr>
          <w:rFonts w:asciiTheme="majorHAnsi" w:hAnsiTheme="majorHAnsi"/>
          <w:sz w:val="18"/>
          <w:szCs w:val="18"/>
        </w:rPr>
        <w:t xml:space="preserve"> See Danto, </w:t>
      </w:r>
      <w:r w:rsidRPr="00CD5778">
        <w:rPr>
          <w:rFonts w:asciiTheme="majorHAnsi" w:hAnsiTheme="majorHAnsi"/>
          <w:i/>
          <w:sz w:val="18"/>
          <w:szCs w:val="18"/>
        </w:rPr>
        <w:t>Freud</w:t>
      </w:r>
      <w:r>
        <w:rPr>
          <w:rFonts w:asciiTheme="majorHAnsi" w:hAnsiTheme="majorHAnsi"/>
          <w:i/>
          <w:sz w:val="18"/>
          <w:szCs w:val="18"/>
        </w:rPr>
        <w:t>’</w:t>
      </w:r>
      <w:r w:rsidRPr="00CD5778">
        <w:rPr>
          <w:rFonts w:asciiTheme="majorHAnsi" w:hAnsiTheme="majorHAnsi"/>
          <w:i/>
          <w:sz w:val="18"/>
          <w:szCs w:val="18"/>
        </w:rPr>
        <w:t>s Free Clinics: Psychoanalysis and Social Justice 1916</w:t>
      </w:r>
      <w:r>
        <w:rPr>
          <w:rFonts w:asciiTheme="majorHAnsi" w:hAnsiTheme="majorHAnsi"/>
          <w:i/>
          <w:sz w:val="18"/>
          <w:szCs w:val="18"/>
        </w:rPr>
        <w:t>–</w:t>
      </w:r>
      <w:r w:rsidRPr="00CD5778">
        <w:rPr>
          <w:rFonts w:asciiTheme="majorHAnsi" w:hAnsiTheme="majorHAnsi"/>
          <w:i/>
          <w:sz w:val="18"/>
          <w:szCs w:val="18"/>
        </w:rPr>
        <w:t>38</w:t>
      </w:r>
      <w:r>
        <w:rPr>
          <w:rFonts w:asciiTheme="majorHAnsi" w:hAnsiTheme="majorHAnsi"/>
          <w:sz w:val="18"/>
          <w:szCs w:val="18"/>
        </w:rPr>
        <w:t>, p. 12.</w:t>
      </w:r>
    </w:p>
    <w:p w14:paraId="28D7B5FB" w14:textId="77777777" w:rsidR="007D6FA8" w:rsidRPr="00CD5778" w:rsidRDefault="007D6FA8" w:rsidP="00197247">
      <w:pPr>
        <w:pStyle w:val="EndnoteText"/>
        <w:rPr>
          <w:rFonts w:asciiTheme="majorHAnsi" w:hAnsiTheme="majorHAnsi"/>
          <w:sz w:val="18"/>
          <w:szCs w:val="18"/>
        </w:rPr>
      </w:pPr>
    </w:p>
  </w:endnote>
  <w:endnote w:id="24">
    <w:p w14:paraId="766D1FAB" w14:textId="6616C616" w:rsidR="007D6FA8" w:rsidRDefault="007D6FA8" w:rsidP="00197247">
      <w:pPr>
        <w:pStyle w:val="EndnoteText"/>
        <w:rPr>
          <w:rFonts w:asciiTheme="majorHAnsi" w:hAnsiTheme="majorHAnsi" w:cs="Helvetica"/>
          <w:sz w:val="18"/>
          <w:szCs w:val="18"/>
        </w:rPr>
      </w:pPr>
      <w:r w:rsidRPr="003F49FE">
        <w:rPr>
          <w:rStyle w:val="EndnoteReference"/>
          <w:rFonts w:asciiTheme="majorHAnsi" w:eastAsia="Times" w:hAnsiTheme="majorHAnsi"/>
          <w:sz w:val="18"/>
          <w:szCs w:val="18"/>
        </w:rPr>
        <w:endnoteRef/>
      </w:r>
      <w:r w:rsidRPr="003F49FE">
        <w:rPr>
          <w:rFonts w:asciiTheme="majorHAnsi" w:hAnsiTheme="majorHAnsi"/>
          <w:sz w:val="18"/>
          <w:szCs w:val="18"/>
        </w:rPr>
        <w:t xml:space="preserve"> </w:t>
      </w:r>
      <w:r w:rsidRPr="003F49FE">
        <w:rPr>
          <w:rFonts w:asciiTheme="majorHAnsi" w:hAnsiTheme="majorHAnsi" w:cs="Helvetica"/>
          <w:sz w:val="18"/>
          <w:szCs w:val="18"/>
        </w:rPr>
        <w:t xml:space="preserve">Freud, </w:t>
      </w:r>
      <w:r>
        <w:rPr>
          <w:rFonts w:asciiTheme="majorHAnsi" w:hAnsiTheme="majorHAnsi" w:cs="Helvetica"/>
          <w:sz w:val="18"/>
          <w:szCs w:val="18"/>
        </w:rPr>
        <w:t>‘</w:t>
      </w:r>
      <w:r w:rsidRPr="003F49FE">
        <w:rPr>
          <w:rFonts w:asciiTheme="majorHAnsi" w:hAnsiTheme="majorHAnsi" w:cs="Helvetica"/>
          <w:sz w:val="18"/>
          <w:szCs w:val="18"/>
        </w:rPr>
        <w:t>Lines of Advance in Psycho-Analytic Therapy</w:t>
      </w:r>
      <w:r>
        <w:rPr>
          <w:rFonts w:asciiTheme="majorHAnsi" w:hAnsiTheme="majorHAnsi" w:cs="Helvetica"/>
          <w:sz w:val="18"/>
          <w:szCs w:val="18"/>
        </w:rPr>
        <w:t>’</w:t>
      </w:r>
      <w:r w:rsidRPr="003F49FE">
        <w:rPr>
          <w:rFonts w:asciiTheme="majorHAnsi" w:hAnsiTheme="majorHAnsi" w:cs="Helvetica"/>
          <w:sz w:val="18"/>
          <w:szCs w:val="18"/>
        </w:rPr>
        <w:t xml:space="preserve">, </w:t>
      </w:r>
      <w:r>
        <w:rPr>
          <w:rFonts w:asciiTheme="majorHAnsi" w:hAnsiTheme="majorHAnsi" w:cs="Helvetica"/>
          <w:sz w:val="18"/>
          <w:szCs w:val="18"/>
        </w:rPr>
        <w:t>p. 167.</w:t>
      </w:r>
    </w:p>
    <w:p w14:paraId="5364D9E2" w14:textId="77777777" w:rsidR="007D6FA8" w:rsidRPr="003F49FE" w:rsidRDefault="007D6FA8" w:rsidP="00197247">
      <w:pPr>
        <w:pStyle w:val="EndnoteText"/>
        <w:rPr>
          <w:rFonts w:asciiTheme="majorHAnsi" w:hAnsiTheme="majorHAnsi"/>
          <w:sz w:val="18"/>
          <w:szCs w:val="18"/>
        </w:rPr>
      </w:pPr>
    </w:p>
  </w:endnote>
  <w:endnote w:id="25">
    <w:p w14:paraId="5F078931" w14:textId="1BD61F95" w:rsidR="007D6FA8" w:rsidRPr="00CD5778" w:rsidRDefault="007D6FA8" w:rsidP="00197247">
      <w:pPr>
        <w:widowControl w:val="0"/>
        <w:autoSpaceDE w:val="0"/>
        <w:autoSpaceDN w:val="0"/>
        <w:adjustRightInd w:val="0"/>
        <w:rPr>
          <w:rFonts w:asciiTheme="majorHAnsi" w:hAnsiTheme="majorHAnsi" w:cs="Helvetica Neue"/>
          <w:sz w:val="18"/>
          <w:szCs w:val="18"/>
        </w:rPr>
      </w:pPr>
      <w:r w:rsidRPr="00CD5778">
        <w:rPr>
          <w:rStyle w:val="EndnoteReference"/>
          <w:rFonts w:asciiTheme="majorHAnsi" w:hAnsiTheme="majorHAnsi"/>
          <w:sz w:val="18"/>
          <w:szCs w:val="18"/>
        </w:rPr>
        <w:endnoteRef/>
      </w:r>
      <w:r>
        <w:rPr>
          <w:rFonts w:asciiTheme="majorHAnsi" w:hAnsiTheme="majorHAnsi" w:cs="Helvetica"/>
          <w:sz w:val="18"/>
          <w:szCs w:val="18"/>
        </w:rPr>
        <w:t xml:space="preserve"> </w:t>
      </w:r>
      <w:r w:rsidRPr="00CD5778">
        <w:rPr>
          <w:rFonts w:asciiTheme="majorHAnsi" w:hAnsiTheme="majorHAnsi"/>
          <w:sz w:val="18"/>
          <w:szCs w:val="18"/>
        </w:rPr>
        <w:t>Danto</w:t>
      </w:r>
      <w:r w:rsidRPr="00CD5778">
        <w:rPr>
          <w:rFonts w:asciiTheme="majorHAnsi" w:hAnsiTheme="majorHAnsi" w:cs="Helvetica"/>
          <w:sz w:val="18"/>
          <w:szCs w:val="18"/>
        </w:rPr>
        <w:t xml:space="preserve">, </w:t>
      </w:r>
      <w:r>
        <w:rPr>
          <w:rFonts w:asciiTheme="majorHAnsi" w:hAnsiTheme="majorHAnsi" w:cs="Helvetica"/>
          <w:sz w:val="18"/>
          <w:szCs w:val="18"/>
        </w:rPr>
        <w:t>‘</w:t>
      </w:r>
      <w:r w:rsidRPr="00CD5778">
        <w:rPr>
          <w:rFonts w:asciiTheme="majorHAnsi" w:hAnsiTheme="majorHAnsi" w:cs="Helvetica"/>
          <w:sz w:val="18"/>
          <w:szCs w:val="18"/>
        </w:rPr>
        <w:t xml:space="preserve">The </w:t>
      </w:r>
      <w:proofErr w:type="spellStart"/>
      <w:r w:rsidRPr="00CD5778">
        <w:rPr>
          <w:rFonts w:asciiTheme="majorHAnsi" w:hAnsiTheme="majorHAnsi" w:cs="Helvetica"/>
          <w:sz w:val="18"/>
          <w:szCs w:val="18"/>
        </w:rPr>
        <w:t>Ambulatorium</w:t>
      </w:r>
      <w:proofErr w:type="spellEnd"/>
      <w:r>
        <w:rPr>
          <w:rFonts w:asciiTheme="majorHAnsi" w:hAnsiTheme="majorHAnsi" w:cs="Helvetica"/>
          <w:sz w:val="18"/>
          <w:szCs w:val="18"/>
        </w:rPr>
        <w:t>’</w:t>
      </w:r>
      <w:r w:rsidRPr="00CD5778">
        <w:rPr>
          <w:rFonts w:asciiTheme="majorHAnsi" w:hAnsiTheme="majorHAnsi" w:cs="Helvetica Neue"/>
          <w:sz w:val="18"/>
          <w:szCs w:val="18"/>
        </w:rPr>
        <w:t>, p. 287.</w:t>
      </w:r>
    </w:p>
    <w:p w14:paraId="3F2711B0" w14:textId="77777777" w:rsidR="007D6FA8" w:rsidRPr="00CD5778" w:rsidRDefault="007D6FA8" w:rsidP="00197247">
      <w:pPr>
        <w:pStyle w:val="EndnoteText"/>
        <w:rPr>
          <w:rFonts w:asciiTheme="majorHAnsi" w:hAnsiTheme="majorHAnsi"/>
          <w:sz w:val="18"/>
          <w:szCs w:val="18"/>
        </w:rPr>
      </w:pPr>
    </w:p>
  </w:endnote>
  <w:endnote w:id="26">
    <w:p w14:paraId="58DE7490" w14:textId="159E2BB1" w:rsidR="007D6FA8" w:rsidRDefault="007D6FA8" w:rsidP="00197247">
      <w:pPr>
        <w:pStyle w:val="EndnoteText"/>
        <w:rPr>
          <w:rFonts w:asciiTheme="majorHAnsi" w:hAnsiTheme="majorHAnsi"/>
          <w:sz w:val="18"/>
          <w:szCs w:val="18"/>
        </w:rPr>
      </w:pPr>
      <w:r w:rsidRPr="00F766D6">
        <w:rPr>
          <w:rStyle w:val="EndnoteReference"/>
          <w:rFonts w:asciiTheme="majorHAnsi" w:eastAsia="Times" w:hAnsiTheme="majorHAnsi"/>
          <w:sz w:val="18"/>
          <w:szCs w:val="18"/>
        </w:rPr>
        <w:endnoteRef/>
      </w:r>
      <w:r w:rsidRPr="00F766D6">
        <w:rPr>
          <w:rFonts w:asciiTheme="majorHAnsi" w:hAnsiTheme="majorHAnsi"/>
          <w:sz w:val="18"/>
          <w:szCs w:val="18"/>
        </w:rPr>
        <w:t xml:space="preserve"> </w:t>
      </w:r>
      <w:r w:rsidRPr="00CD5778">
        <w:rPr>
          <w:rFonts w:asciiTheme="majorHAnsi" w:hAnsiTheme="majorHAnsi"/>
          <w:sz w:val="18"/>
          <w:szCs w:val="18"/>
        </w:rPr>
        <w:t xml:space="preserve">Danto, </w:t>
      </w:r>
      <w:r w:rsidRPr="00CD5778">
        <w:rPr>
          <w:rFonts w:asciiTheme="majorHAnsi" w:hAnsiTheme="majorHAnsi"/>
          <w:i/>
          <w:sz w:val="18"/>
          <w:szCs w:val="18"/>
        </w:rPr>
        <w:t>Freud</w:t>
      </w:r>
      <w:r>
        <w:rPr>
          <w:rFonts w:asciiTheme="majorHAnsi" w:hAnsiTheme="majorHAnsi"/>
          <w:i/>
          <w:sz w:val="18"/>
          <w:szCs w:val="18"/>
        </w:rPr>
        <w:t>’</w:t>
      </w:r>
      <w:r w:rsidRPr="00CD5778">
        <w:rPr>
          <w:rFonts w:asciiTheme="majorHAnsi" w:hAnsiTheme="majorHAnsi"/>
          <w:i/>
          <w:sz w:val="18"/>
          <w:szCs w:val="18"/>
        </w:rPr>
        <w:t>s Free Clinics</w:t>
      </w:r>
      <w:r>
        <w:rPr>
          <w:rFonts w:asciiTheme="majorHAnsi" w:hAnsiTheme="majorHAnsi"/>
          <w:sz w:val="18"/>
          <w:szCs w:val="18"/>
        </w:rPr>
        <w:t>, p. 25.</w:t>
      </w:r>
    </w:p>
    <w:p w14:paraId="692A9A2B" w14:textId="77777777" w:rsidR="007D6FA8" w:rsidRPr="00D248EB" w:rsidRDefault="007D6FA8" w:rsidP="00197247">
      <w:pPr>
        <w:pStyle w:val="EndnoteText"/>
      </w:pPr>
    </w:p>
  </w:endnote>
  <w:endnote w:id="27">
    <w:p w14:paraId="22694601" w14:textId="77777777" w:rsidR="007D6FA8" w:rsidRPr="00C41167" w:rsidRDefault="007D6FA8" w:rsidP="00197247">
      <w:pPr>
        <w:pStyle w:val="EndnoteText"/>
        <w:rPr>
          <w:rFonts w:asciiTheme="majorHAnsi" w:hAnsiTheme="majorHAnsi"/>
          <w:sz w:val="18"/>
          <w:szCs w:val="18"/>
        </w:rPr>
      </w:pPr>
      <w:r w:rsidRPr="00C41167">
        <w:rPr>
          <w:rStyle w:val="EndnoteReference"/>
          <w:rFonts w:asciiTheme="majorHAnsi" w:eastAsia="Times" w:hAnsiTheme="majorHAnsi"/>
          <w:sz w:val="18"/>
          <w:szCs w:val="18"/>
        </w:rPr>
        <w:endnoteRef/>
      </w:r>
      <w:r w:rsidRPr="00C41167">
        <w:rPr>
          <w:rFonts w:asciiTheme="majorHAnsi" w:hAnsiTheme="majorHAnsi"/>
          <w:sz w:val="18"/>
          <w:szCs w:val="18"/>
        </w:rPr>
        <w:t xml:space="preserve"> Danto, </w:t>
      </w:r>
      <w:r>
        <w:rPr>
          <w:rFonts w:asciiTheme="majorHAnsi" w:hAnsiTheme="majorHAnsi"/>
          <w:sz w:val="18"/>
          <w:szCs w:val="18"/>
        </w:rPr>
        <w:t>‘</w:t>
      </w:r>
      <w:r w:rsidRPr="00C41167">
        <w:rPr>
          <w:rFonts w:asciiTheme="majorHAnsi" w:hAnsiTheme="majorHAnsi"/>
          <w:sz w:val="18"/>
          <w:szCs w:val="18"/>
        </w:rPr>
        <w:t xml:space="preserve">The Berlin </w:t>
      </w:r>
      <w:proofErr w:type="spellStart"/>
      <w:r w:rsidRPr="00C41167">
        <w:rPr>
          <w:rFonts w:asciiTheme="majorHAnsi" w:hAnsiTheme="majorHAnsi"/>
          <w:sz w:val="18"/>
          <w:szCs w:val="18"/>
        </w:rPr>
        <w:t>Poliklinik</w:t>
      </w:r>
      <w:proofErr w:type="spellEnd"/>
      <w:r>
        <w:rPr>
          <w:rFonts w:asciiTheme="majorHAnsi" w:hAnsiTheme="majorHAnsi"/>
          <w:sz w:val="18"/>
          <w:szCs w:val="18"/>
        </w:rPr>
        <w:t>’, pp. 1271–3 for a description of the opening of the premises.</w:t>
      </w:r>
    </w:p>
    <w:p w14:paraId="3BAF5ACC" w14:textId="77777777" w:rsidR="007D6FA8" w:rsidRPr="00A04BF0" w:rsidRDefault="007D6FA8" w:rsidP="00197247">
      <w:pPr>
        <w:pStyle w:val="EndnoteText"/>
      </w:pPr>
    </w:p>
  </w:endnote>
  <w:endnote w:id="28">
    <w:p w14:paraId="513B140F" w14:textId="7C5603DD" w:rsidR="007D6FA8" w:rsidRPr="003969BC" w:rsidRDefault="007D6FA8" w:rsidP="00F00655">
      <w:pPr>
        <w:rPr>
          <w:rFonts w:asciiTheme="majorHAnsi" w:hAnsiTheme="majorHAnsi"/>
          <w:sz w:val="18"/>
          <w:szCs w:val="18"/>
        </w:rPr>
      </w:pPr>
      <w:r w:rsidRPr="003969BC">
        <w:rPr>
          <w:rStyle w:val="EndnoteReference"/>
          <w:rFonts w:asciiTheme="majorHAnsi" w:hAnsiTheme="majorHAnsi"/>
          <w:sz w:val="18"/>
          <w:szCs w:val="18"/>
        </w:rPr>
        <w:endnoteRef/>
      </w:r>
      <w:r w:rsidRPr="003969BC">
        <w:rPr>
          <w:rFonts w:asciiTheme="majorHAnsi" w:hAnsiTheme="majorHAnsi"/>
          <w:sz w:val="18"/>
          <w:szCs w:val="18"/>
        </w:rPr>
        <w:t xml:space="preserve"> Cooke, </w:t>
      </w:r>
      <w:r w:rsidRPr="003969BC">
        <w:rPr>
          <w:rFonts w:asciiTheme="majorHAnsi" w:hAnsiTheme="majorHAnsi"/>
          <w:i/>
          <w:sz w:val="18"/>
          <w:szCs w:val="18"/>
        </w:rPr>
        <w:t>Russian Avant-Garde</w:t>
      </w:r>
      <w:r w:rsidRPr="003969BC">
        <w:rPr>
          <w:rFonts w:asciiTheme="majorHAnsi" w:hAnsiTheme="majorHAnsi"/>
          <w:sz w:val="18"/>
          <w:szCs w:val="18"/>
        </w:rPr>
        <w:t xml:space="preserve">, pp. 10–11. Here Cooke discusses </w:t>
      </w:r>
      <w:proofErr w:type="spellStart"/>
      <w:r w:rsidRPr="003969BC">
        <w:rPr>
          <w:rFonts w:asciiTheme="majorHAnsi" w:hAnsiTheme="majorHAnsi"/>
          <w:i/>
          <w:sz w:val="18"/>
          <w:szCs w:val="18"/>
        </w:rPr>
        <w:t>Moderne</w:t>
      </w:r>
      <w:proofErr w:type="spellEnd"/>
      <w:r w:rsidRPr="003969BC">
        <w:rPr>
          <w:rFonts w:asciiTheme="majorHAnsi" w:hAnsiTheme="majorHAnsi"/>
          <w:sz w:val="18"/>
          <w:szCs w:val="18"/>
        </w:rPr>
        <w:t xml:space="preserve"> as a democratic approach. For a more detailed discussion of the work of </w:t>
      </w:r>
      <w:proofErr w:type="spellStart"/>
      <w:r w:rsidRPr="003969BC">
        <w:rPr>
          <w:rFonts w:asciiTheme="majorHAnsi" w:hAnsiTheme="majorHAnsi"/>
          <w:sz w:val="18"/>
          <w:szCs w:val="18"/>
        </w:rPr>
        <w:t>Shekhtel</w:t>
      </w:r>
      <w:proofErr w:type="spellEnd"/>
      <w:r w:rsidRPr="003969BC">
        <w:rPr>
          <w:rFonts w:asciiTheme="majorHAnsi" w:hAnsiTheme="majorHAnsi"/>
          <w:sz w:val="18"/>
          <w:szCs w:val="18"/>
        </w:rPr>
        <w:t xml:space="preserve"> see Cooke</w:t>
      </w:r>
      <w:r>
        <w:rPr>
          <w:rFonts w:asciiTheme="majorHAnsi" w:hAnsiTheme="majorHAnsi"/>
          <w:sz w:val="18"/>
          <w:szCs w:val="18"/>
        </w:rPr>
        <w:t>,</w:t>
      </w:r>
      <w:r w:rsidRPr="003969BC">
        <w:rPr>
          <w:rFonts w:asciiTheme="majorHAnsi" w:hAnsiTheme="majorHAnsi"/>
          <w:sz w:val="18"/>
          <w:szCs w:val="18"/>
        </w:rPr>
        <w:t xml:space="preserve"> ‘</w:t>
      </w:r>
      <w:proofErr w:type="spellStart"/>
      <w:r w:rsidRPr="003969BC">
        <w:rPr>
          <w:rFonts w:asciiTheme="majorHAnsi" w:hAnsiTheme="majorHAnsi"/>
          <w:sz w:val="18"/>
          <w:szCs w:val="18"/>
        </w:rPr>
        <w:t>Fedor</w:t>
      </w:r>
      <w:proofErr w:type="spellEnd"/>
      <w:r w:rsidRPr="003969BC">
        <w:rPr>
          <w:rFonts w:asciiTheme="majorHAnsi" w:hAnsiTheme="majorHAnsi"/>
          <w:sz w:val="18"/>
          <w:szCs w:val="18"/>
        </w:rPr>
        <w:t xml:space="preserve"> </w:t>
      </w:r>
      <w:proofErr w:type="spellStart"/>
      <w:r w:rsidRPr="003969BC">
        <w:rPr>
          <w:rFonts w:asciiTheme="majorHAnsi" w:hAnsiTheme="majorHAnsi"/>
          <w:sz w:val="18"/>
          <w:szCs w:val="18"/>
        </w:rPr>
        <w:t>Osipvich</w:t>
      </w:r>
      <w:proofErr w:type="spellEnd"/>
      <w:r w:rsidRPr="003969BC">
        <w:rPr>
          <w:rFonts w:asciiTheme="majorHAnsi" w:hAnsiTheme="majorHAnsi"/>
          <w:sz w:val="18"/>
          <w:szCs w:val="18"/>
        </w:rPr>
        <w:t xml:space="preserve"> </w:t>
      </w:r>
      <w:proofErr w:type="spellStart"/>
      <w:r w:rsidRPr="003969BC">
        <w:rPr>
          <w:rFonts w:asciiTheme="majorHAnsi" w:hAnsiTheme="majorHAnsi"/>
          <w:sz w:val="18"/>
          <w:szCs w:val="18"/>
        </w:rPr>
        <w:t>Shekhtel</w:t>
      </w:r>
      <w:proofErr w:type="spellEnd"/>
      <w:r w:rsidRPr="003969BC">
        <w:rPr>
          <w:rFonts w:asciiTheme="majorHAnsi" w:hAnsiTheme="majorHAnsi"/>
          <w:sz w:val="18"/>
          <w:szCs w:val="18"/>
        </w:rPr>
        <w:t>. See the research of W. C. Brumfield</w:t>
      </w:r>
      <w:r>
        <w:rPr>
          <w:rFonts w:asciiTheme="majorHAnsi" w:hAnsiTheme="majorHAnsi"/>
          <w:sz w:val="18"/>
          <w:szCs w:val="18"/>
        </w:rPr>
        <w:t>: f</w:t>
      </w:r>
      <w:r w:rsidRPr="003969BC">
        <w:rPr>
          <w:rFonts w:asciiTheme="majorHAnsi" w:hAnsiTheme="majorHAnsi"/>
          <w:sz w:val="18"/>
          <w:szCs w:val="18"/>
        </w:rPr>
        <w:t>or example Brumfield, ‘Architectural Design in Moscow, 1890–1917</w:t>
      </w:r>
      <w:r>
        <w:rPr>
          <w:rFonts w:asciiTheme="majorHAnsi" w:hAnsiTheme="majorHAnsi"/>
          <w:sz w:val="18"/>
          <w:szCs w:val="18"/>
        </w:rPr>
        <w:t>’,</w:t>
      </w:r>
      <w:r w:rsidRPr="003969BC">
        <w:rPr>
          <w:rFonts w:asciiTheme="majorHAnsi" w:hAnsiTheme="majorHAnsi"/>
          <w:sz w:val="18"/>
          <w:szCs w:val="18"/>
        </w:rPr>
        <w:t xml:space="preserve"> for a discussion of the rationalist aspect of </w:t>
      </w:r>
      <w:proofErr w:type="spellStart"/>
      <w:r w:rsidRPr="003969BC">
        <w:rPr>
          <w:rFonts w:asciiTheme="majorHAnsi" w:hAnsiTheme="majorHAnsi"/>
          <w:sz w:val="18"/>
          <w:szCs w:val="18"/>
        </w:rPr>
        <w:t>Shekhtel’s</w:t>
      </w:r>
      <w:proofErr w:type="spellEnd"/>
      <w:r w:rsidRPr="003969BC">
        <w:rPr>
          <w:rFonts w:asciiTheme="majorHAnsi" w:hAnsiTheme="majorHAnsi"/>
          <w:sz w:val="18"/>
          <w:szCs w:val="18"/>
        </w:rPr>
        <w:t xml:space="preserve"> public works; </w:t>
      </w:r>
      <w:r>
        <w:rPr>
          <w:rFonts w:asciiTheme="majorHAnsi" w:hAnsiTheme="majorHAnsi"/>
          <w:sz w:val="18"/>
          <w:szCs w:val="18"/>
        </w:rPr>
        <w:t xml:space="preserve">and </w:t>
      </w:r>
      <w:r w:rsidRPr="003969BC">
        <w:rPr>
          <w:rFonts w:asciiTheme="majorHAnsi" w:hAnsiTheme="majorHAnsi"/>
          <w:sz w:val="18"/>
          <w:szCs w:val="18"/>
        </w:rPr>
        <w:t>Brumfield</w:t>
      </w:r>
      <w:r w:rsidRPr="003969BC">
        <w:rPr>
          <w:rFonts w:asciiTheme="majorHAnsi" w:hAnsiTheme="majorHAnsi"/>
          <w:i/>
          <w:sz w:val="18"/>
          <w:szCs w:val="18"/>
        </w:rPr>
        <w:t>, A History of Russian Architecture</w:t>
      </w:r>
      <w:r w:rsidRPr="003969BC">
        <w:rPr>
          <w:rFonts w:asciiTheme="majorHAnsi" w:hAnsiTheme="majorHAnsi"/>
          <w:sz w:val="18"/>
          <w:szCs w:val="18"/>
        </w:rPr>
        <w:t>, p. 437, figs 575–6, for a discussion of the design of a range of private</w:t>
      </w:r>
      <w:r>
        <w:rPr>
          <w:rFonts w:asciiTheme="majorHAnsi" w:hAnsiTheme="majorHAnsi"/>
          <w:sz w:val="18"/>
          <w:szCs w:val="18"/>
        </w:rPr>
        <w:t xml:space="preserve"> houses designed by </w:t>
      </w:r>
      <w:proofErr w:type="spellStart"/>
      <w:r>
        <w:rPr>
          <w:rFonts w:asciiTheme="majorHAnsi" w:hAnsiTheme="majorHAnsi"/>
          <w:sz w:val="18"/>
          <w:szCs w:val="18"/>
        </w:rPr>
        <w:t>Shekhtel</w:t>
      </w:r>
      <w:proofErr w:type="spellEnd"/>
      <w:r>
        <w:rPr>
          <w:rFonts w:asciiTheme="majorHAnsi" w:hAnsiTheme="majorHAnsi"/>
          <w:sz w:val="18"/>
          <w:szCs w:val="18"/>
        </w:rPr>
        <w:t xml:space="preserve">. See </w:t>
      </w:r>
      <w:r w:rsidRPr="003969BC">
        <w:rPr>
          <w:rFonts w:asciiTheme="majorHAnsi" w:hAnsiTheme="majorHAnsi"/>
          <w:sz w:val="18"/>
          <w:szCs w:val="18"/>
        </w:rPr>
        <w:t>also Brumfield</w:t>
      </w:r>
      <w:r w:rsidRPr="003969BC">
        <w:rPr>
          <w:rFonts w:asciiTheme="majorHAnsi" w:hAnsiTheme="majorHAnsi"/>
          <w:i/>
          <w:sz w:val="18"/>
          <w:szCs w:val="18"/>
        </w:rPr>
        <w:t xml:space="preserve">, </w:t>
      </w:r>
      <w:r w:rsidRPr="003969BC">
        <w:rPr>
          <w:rFonts w:asciiTheme="majorHAnsi" w:hAnsiTheme="majorHAnsi"/>
          <w:sz w:val="18"/>
          <w:szCs w:val="18"/>
        </w:rPr>
        <w:t>‘Building for the Bourgeoisie</w:t>
      </w:r>
      <w:r>
        <w:rPr>
          <w:rFonts w:asciiTheme="majorHAnsi" w:hAnsiTheme="majorHAnsi"/>
          <w:sz w:val="18"/>
          <w:szCs w:val="18"/>
        </w:rPr>
        <w:t>,</w:t>
      </w:r>
      <w:r w:rsidRPr="003969BC">
        <w:rPr>
          <w:rFonts w:asciiTheme="majorHAnsi" w:hAnsiTheme="majorHAnsi"/>
          <w:sz w:val="18"/>
          <w:szCs w:val="18"/>
        </w:rPr>
        <w:t xml:space="preserve"> </w:t>
      </w:r>
      <w:r>
        <w:rPr>
          <w:rFonts w:asciiTheme="majorHAnsi" w:hAnsiTheme="majorHAnsi"/>
          <w:sz w:val="18"/>
          <w:szCs w:val="18"/>
        </w:rPr>
        <w:t xml:space="preserve">and </w:t>
      </w:r>
      <w:r w:rsidRPr="003969BC">
        <w:rPr>
          <w:rFonts w:asciiTheme="majorHAnsi" w:hAnsiTheme="majorHAnsi"/>
          <w:sz w:val="18"/>
          <w:szCs w:val="18"/>
        </w:rPr>
        <w:t>Brumfield, ‘The Decorative Arts in Russian Architecture</w:t>
      </w:r>
      <w:r>
        <w:rPr>
          <w:rFonts w:asciiTheme="majorHAnsi" w:hAnsiTheme="majorHAnsi"/>
          <w:sz w:val="18"/>
          <w:szCs w:val="18"/>
        </w:rPr>
        <w:t xml:space="preserve">: </w:t>
      </w:r>
      <w:r w:rsidRPr="003969BC">
        <w:rPr>
          <w:rFonts w:asciiTheme="majorHAnsi" w:hAnsiTheme="majorHAnsi"/>
          <w:sz w:val="18"/>
          <w:szCs w:val="18"/>
        </w:rPr>
        <w:t xml:space="preserve">1900–1907’. Brumfield refers to </w:t>
      </w:r>
      <w:proofErr w:type="spellStart"/>
      <w:r w:rsidRPr="003969BC">
        <w:rPr>
          <w:rFonts w:asciiTheme="majorHAnsi" w:hAnsiTheme="majorHAnsi"/>
          <w:sz w:val="18"/>
          <w:szCs w:val="18"/>
        </w:rPr>
        <w:t>E</w:t>
      </w:r>
      <w:r>
        <w:rPr>
          <w:rFonts w:asciiTheme="majorHAnsi" w:hAnsiTheme="majorHAnsi"/>
          <w:sz w:val="18"/>
          <w:szCs w:val="18"/>
        </w:rPr>
        <w:t>vgeniia</w:t>
      </w:r>
      <w:proofErr w:type="spellEnd"/>
      <w:r w:rsidRPr="003969BC">
        <w:rPr>
          <w:rFonts w:asciiTheme="majorHAnsi" w:hAnsiTheme="majorHAnsi"/>
          <w:sz w:val="18"/>
          <w:szCs w:val="18"/>
        </w:rPr>
        <w:t xml:space="preserve"> I. </w:t>
      </w:r>
      <w:proofErr w:type="spellStart"/>
      <w:r w:rsidRPr="003969BC">
        <w:rPr>
          <w:rFonts w:asciiTheme="majorHAnsi" w:hAnsiTheme="majorHAnsi"/>
          <w:sz w:val="18"/>
          <w:szCs w:val="18"/>
        </w:rPr>
        <w:t>Kirichenko</w:t>
      </w:r>
      <w:proofErr w:type="spellEnd"/>
      <w:r w:rsidRPr="003969BC">
        <w:rPr>
          <w:rFonts w:asciiTheme="majorHAnsi" w:hAnsiTheme="majorHAnsi"/>
          <w:sz w:val="18"/>
          <w:szCs w:val="18"/>
        </w:rPr>
        <w:t xml:space="preserve"> as ‘</w:t>
      </w:r>
      <w:r>
        <w:rPr>
          <w:rFonts w:asciiTheme="majorHAnsi" w:hAnsiTheme="majorHAnsi"/>
          <w:sz w:val="18"/>
          <w:szCs w:val="18"/>
        </w:rPr>
        <w:t>[</w:t>
      </w:r>
      <w:proofErr w:type="spellStart"/>
      <w:r>
        <w:rPr>
          <w:rFonts w:asciiTheme="majorHAnsi" w:hAnsiTheme="majorHAnsi"/>
          <w:sz w:val="18"/>
          <w:szCs w:val="18"/>
        </w:rPr>
        <w:t>t]</w:t>
      </w:r>
      <w:r w:rsidRPr="003969BC">
        <w:rPr>
          <w:rFonts w:asciiTheme="majorHAnsi" w:hAnsiTheme="majorHAnsi"/>
          <w:sz w:val="18"/>
          <w:szCs w:val="18"/>
        </w:rPr>
        <w:t>he</w:t>
      </w:r>
      <w:proofErr w:type="spellEnd"/>
      <w:r w:rsidRPr="003969BC">
        <w:rPr>
          <w:rFonts w:asciiTheme="majorHAnsi" w:hAnsiTheme="majorHAnsi"/>
          <w:sz w:val="18"/>
          <w:szCs w:val="18"/>
        </w:rPr>
        <w:t xml:space="preserve"> </w:t>
      </w:r>
      <w:r>
        <w:rPr>
          <w:rFonts w:asciiTheme="majorHAnsi" w:hAnsiTheme="majorHAnsi"/>
          <w:sz w:val="18"/>
          <w:szCs w:val="18"/>
        </w:rPr>
        <w:t>leading Soviet authority</w:t>
      </w:r>
      <w:r w:rsidRPr="003969BC">
        <w:rPr>
          <w:rFonts w:asciiTheme="majorHAnsi" w:hAnsiTheme="majorHAnsi"/>
          <w:sz w:val="18"/>
          <w:szCs w:val="18"/>
        </w:rPr>
        <w:t xml:space="preserve"> on the work of </w:t>
      </w:r>
      <w:proofErr w:type="spellStart"/>
      <w:r w:rsidRPr="008501CB">
        <w:rPr>
          <w:rFonts w:asciiTheme="majorHAnsi" w:hAnsiTheme="majorHAnsi"/>
          <w:sz w:val="18"/>
          <w:szCs w:val="18"/>
        </w:rPr>
        <w:t>Shekhtel</w:t>
      </w:r>
      <w:proofErr w:type="spellEnd"/>
      <w:r w:rsidRPr="008501CB">
        <w:rPr>
          <w:rFonts w:asciiTheme="majorHAnsi" w:hAnsiTheme="majorHAnsi"/>
          <w:sz w:val="18"/>
          <w:szCs w:val="18"/>
        </w:rPr>
        <w:t>’.</w:t>
      </w:r>
      <w:r w:rsidRPr="003969BC">
        <w:rPr>
          <w:rFonts w:asciiTheme="majorHAnsi" w:hAnsiTheme="majorHAnsi"/>
          <w:sz w:val="18"/>
          <w:szCs w:val="18"/>
        </w:rPr>
        <w:t xml:space="preserve"> </w:t>
      </w:r>
      <w:r>
        <w:rPr>
          <w:rFonts w:asciiTheme="majorHAnsi" w:hAnsiTheme="majorHAnsi"/>
          <w:sz w:val="18"/>
          <w:szCs w:val="18"/>
        </w:rPr>
        <w:t xml:space="preserve">See </w:t>
      </w:r>
      <w:r w:rsidRPr="003969BC">
        <w:rPr>
          <w:rFonts w:asciiTheme="majorHAnsi" w:hAnsiTheme="majorHAnsi"/>
          <w:sz w:val="18"/>
          <w:szCs w:val="18"/>
        </w:rPr>
        <w:t>Brumfield, ‘The Decorative Arts in Russian Architecture</w:t>
      </w:r>
      <w:r>
        <w:rPr>
          <w:rFonts w:asciiTheme="majorHAnsi" w:hAnsiTheme="majorHAnsi"/>
          <w:sz w:val="18"/>
          <w:szCs w:val="18"/>
        </w:rPr>
        <w:t xml:space="preserve">: </w:t>
      </w:r>
      <w:r w:rsidRPr="003969BC">
        <w:rPr>
          <w:rFonts w:asciiTheme="majorHAnsi" w:hAnsiTheme="majorHAnsi"/>
          <w:sz w:val="18"/>
          <w:szCs w:val="18"/>
        </w:rPr>
        <w:t>1900–1907’</w:t>
      </w:r>
      <w:r>
        <w:rPr>
          <w:rFonts w:asciiTheme="majorHAnsi" w:hAnsiTheme="majorHAnsi"/>
          <w:sz w:val="18"/>
          <w:szCs w:val="18"/>
        </w:rPr>
        <w:t xml:space="preserve">, p. 23, note 4. </w:t>
      </w:r>
      <w:r w:rsidRPr="003969BC">
        <w:rPr>
          <w:rFonts w:asciiTheme="majorHAnsi" w:hAnsiTheme="majorHAnsi"/>
          <w:sz w:val="18"/>
          <w:szCs w:val="18"/>
        </w:rPr>
        <w:t xml:space="preserve">See </w:t>
      </w:r>
      <w:r>
        <w:rPr>
          <w:rFonts w:asciiTheme="majorHAnsi" w:hAnsiTheme="majorHAnsi"/>
          <w:sz w:val="18"/>
          <w:szCs w:val="18"/>
        </w:rPr>
        <w:t xml:space="preserve">also </w:t>
      </w:r>
      <w:proofErr w:type="spellStart"/>
      <w:r w:rsidRPr="003969BC">
        <w:rPr>
          <w:rFonts w:asciiTheme="majorHAnsi" w:hAnsiTheme="majorHAnsi"/>
          <w:sz w:val="18"/>
          <w:szCs w:val="18"/>
        </w:rPr>
        <w:t>Kirichenko</w:t>
      </w:r>
      <w:proofErr w:type="spellEnd"/>
      <w:r w:rsidRPr="003969BC">
        <w:rPr>
          <w:rFonts w:asciiTheme="majorHAnsi" w:hAnsiTheme="majorHAnsi"/>
          <w:sz w:val="18"/>
          <w:szCs w:val="18"/>
        </w:rPr>
        <w:t xml:space="preserve">, </w:t>
      </w:r>
      <w:proofErr w:type="spellStart"/>
      <w:r w:rsidRPr="003969BC">
        <w:rPr>
          <w:rFonts w:asciiTheme="majorHAnsi" w:hAnsiTheme="majorHAnsi"/>
          <w:i/>
          <w:sz w:val="18"/>
          <w:szCs w:val="18"/>
        </w:rPr>
        <w:t>Fedor</w:t>
      </w:r>
      <w:proofErr w:type="spellEnd"/>
      <w:r w:rsidRPr="003969BC">
        <w:rPr>
          <w:rFonts w:asciiTheme="majorHAnsi" w:hAnsiTheme="majorHAnsi"/>
          <w:i/>
          <w:sz w:val="18"/>
          <w:szCs w:val="18"/>
        </w:rPr>
        <w:t xml:space="preserve"> </w:t>
      </w:r>
      <w:proofErr w:type="spellStart"/>
      <w:r w:rsidRPr="003969BC">
        <w:rPr>
          <w:rFonts w:asciiTheme="majorHAnsi" w:hAnsiTheme="majorHAnsi"/>
          <w:i/>
          <w:sz w:val="18"/>
          <w:szCs w:val="18"/>
        </w:rPr>
        <w:t>Shekhtel</w:t>
      </w:r>
      <w:proofErr w:type="spellEnd"/>
      <w:r>
        <w:rPr>
          <w:rFonts w:asciiTheme="majorHAnsi" w:hAnsiTheme="majorHAnsi"/>
          <w:sz w:val="18"/>
          <w:szCs w:val="18"/>
        </w:rPr>
        <w:t>, pp. 61–</w:t>
      </w:r>
      <w:r w:rsidRPr="003969BC">
        <w:rPr>
          <w:rFonts w:asciiTheme="majorHAnsi" w:hAnsiTheme="majorHAnsi"/>
          <w:sz w:val="18"/>
          <w:szCs w:val="18"/>
        </w:rPr>
        <w:t>70.</w:t>
      </w:r>
    </w:p>
    <w:p w14:paraId="627D5605" w14:textId="77777777" w:rsidR="007D6FA8" w:rsidRPr="003969BC" w:rsidRDefault="007D6FA8" w:rsidP="00F00655">
      <w:pPr>
        <w:pStyle w:val="EndnoteText"/>
        <w:rPr>
          <w:rFonts w:asciiTheme="majorHAnsi" w:hAnsiTheme="majorHAnsi"/>
          <w:sz w:val="18"/>
          <w:szCs w:val="18"/>
        </w:rPr>
      </w:pPr>
    </w:p>
  </w:endnote>
  <w:endnote w:id="29">
    <w:p w14:paraId="7D59DE19" w14:textId="77777777" w:rsidR="007D6FA8" w:rsidRPr="003969BC" w:rsidRDefault="007D6FA8" w:rsidP="00F00655">
      <w:pPr>
        <w:pStyle w:val="EndnoteText"/>
        <w:rPr>
          <w:rFonts w:asciiTheme="majorHAnsi" w:hAnsiTheme="majorHAnsi"/>
          <w:sz w:val="18"/>
          <w:szCs w:val="18"/>
        </w:rPr>
      </w:pPr>
      <w:r w:rsidRPr="003969BC">
        <w:rPr>
          <w:rStyle w:val="EndnoteReference"/>
          <w:rFonts w:asciiTheme="majorHAnsi" w:hAnsiTheme="majorHAnsi"/>
          <w:sz w:val="18"/>
          <w:szCs w:val="18"/>
        </w:rPr>
        <w:endnoteRef/>
      </w:r>
      <w:r w:rsidRPr="003969BC">
        <w:rPr>
          <w:rFonts w:asciiTheme="majorHAnsi" w:hAnsiTheme="majorHAnsi"/>
          <w:sz w:val="18"/>
          <w:szCs w:val="18"/>
        </w:rPr>
        <w:t xml:space="preserve"> </w:t>
      </w:r>
      <w:proofErr w:type="spellStart"/>
      <w:r w:rsidRPr="003969BC">
        <w:rPr>
          <w:rFonts w:asciiTheme="majorHAnsi" w:hAnsiTheme="majorHAnsi"/>
          <w:sz w:val="18"/>
          <w:szCs w:val="18"/>
        </w:rPr>
        <w:t>Anisimov</w:t>
      </w:r>
      <w:proofErr w:type="spellEnd"/>
      <w:r w:rsidRPr="003969BC">
        <w:rPr>
          <w:rFonts w:asciiTheme="majorHAnsi" w:hAnsiTheme="majorHAnsi"/>
          <w:sz w:val="18"/>
          <w:szCs w:val="18"/>
        </w:rPr>
        <w:t xml:space="preserve">, </w:t>
      </w:r>
      <w:r w:rsidRPr="003969BC">
        <w:rPr>
          <w:rFonts w:asciiTheme="majorHAnsi" w:hAnsiTheme="majorHAnsi"/>
          <w:i/>
          <w:sz w:val="18"/>
          <w:szCs w:val="18"/>
        </w:rPr>
        <w:t>Architectural Guide to Moscow</w:t>
      </w:r>
      <w:r w:rsidRPr="003969BC">
        <w:rPr>
          <w:rFonts w:asciiTheme="majorHAnsi" w:hAnsiTheme="majorHAnsi"/>
          <w:sz w:val="18"/>
          <w:szCs w:val="18"/>
        </w:rPr>
        <w:t xml:space="preserve">, p. 72. </w:t>
      </w:r>
    </w:p>
    <w:p w14:paraId="7BAA4E94" w14:textId="77777777" w:rsidR="007D6FA8" w:rsidRPr="003969BC" w:rsidRDefault="007D6FA8" w:rsidP="00F00655">
      <w:pPr>
        <w:pStyle w:val="EndnoteText"/>
        <w:rPr>
          <w:rFonts w:asciiTheme="majorHAnsi" w:hAnsiTheme="majorHAnsi"/>
          <w:sz w:val="18"/>
          <w:szCs w:val="18"/>
        </w:rPr>
      </w:pPr>
    </w:p>
  </w:endnote>
  <w:endnote w:id="30">
    <w:p w14:paraId="4F957A60" w14:textId="77777777" w:rsidR="007D6FA8" w:rsidRPr="003969BC" w:rsidRDefault="007D6FA8" w:rsidP="00DD2D94">
      <w:pPr>
        <w:widowControl w:val="0"/>
        <w:autoSpaceDE w:val="0"/>
        <w:autoSpaceDN w:val="0"/>
        <w:adjustRightInd w:val="0"/>
        <w:rPr>
          <w:rFonts w:asciiTheme="majorHAnsi" w:hAnsiTheme="majorHAnsi" w:cs="Georgia"/>
          <w:sz w:val="18"/>
          <w:szCs w:val="18"/>
        </w:rPr>
      </w:pPr>
      <w:r w:rsidRPr="003969BC">
        <w:rPr>
          <w:rStyle w:val="EndnoteReference"/>
          <w:rFonts w:asciiTheme="majorHAnsi" w:hAnsiTheme="majorHAnsi"/>
          <w:sz w:val="18"/>
          <w:szCs w:val="18"/>
        </w:rPr>
        <w:endnoteRef/>
      </w:r>
      <w:r w:rsidRPr="003969BC">
        <w:rPr>
          <w:rFonts w:asciiTheme="majorHAnsi" w:hAnsiTheme="majorHAnsi"/>
          <w:sz w:val="18"/>
          <w:szCs w:val="18"/>
        </w:rPr>
        <w:t xml:space="preserve"> </w:t>
      </w:r>
      <w:r w:rsidRPr="003969BC">
        <w:rPr>
          <w:rFonts w:asciiTheme="majorHAnsi" w:hAnsiTheme="majorHAnsi" w:cs="Arial"/>
          <w:iCs/>
          <w:sz w:val="18"/>
          <w:szCs w:val="18"/>
        </w:rPr>
        <w:t>Brenner, ‘</w:t>
      </w:r>
      <w:r>
        <w:rPr>
          <w:rFonts w:asciiTheme="majorHAnsi" w:hAnsiTheme="majorHAnsi" w:cs="Georgia"/>
          <w:sz w:val="18"/>
          <w:szCs w:val="18"/>
        </w:rPr>
        <w:t>Intrepid Thought’.</w:t>
      </w:r>
    </w:p>
    <w:p w14:paraId="3484A365" w14:textId="77777777" w:rsidR="007D6FA8" w:rsidRPr="003969BC" w:rsidRDefault="007D6FA8" w:rsidP="00DD2D94">
      <w:pPr>
        <w:pStyle w:val="EndnoteText"/>
        <w:rPr>
          <w:rFonts w:asciiTheme="majorHAnsi" w:hAnsiTheme="majorHAnsi"/>
          <w:sz w:val="18"/>
          <w:szCs w:val="18"/>
        </w:rPr>
      </w:pPr>
    </w:p>
  </w:endnote>
  <w:endnote w:id="31">
    <w:p w14:paraId="5F7D3075" w14:textId="023E21C1" w:rsidR="007D6FA8" w:rsidRDefault="007D6FA8" w:rsidP="00DD2D94">
      <w:pPr>
        <w:widowControl w:val="0"/>
        <w:autoSpaceDE w:val="0"/>
        <w:autoSpaceDN w:val="0"/>
        <w:adjustRightInd w:val="0"/>
        <w:spacing w:after="80"/>
        <w:rPr>
          <w:rFonts w:asciiTheme="majorHAnsi" w:hAnsiTheme="majorHAnsi" w:cs="Helvetica"/>
          <w:sz w:val="18"/>
          <w:szCs w:val="18"/>
        </w:rPr>
      </w:pPr>
      <w:r w:rsidRPr="003969BC">
        <w:rPr>
          <w:rStyle w:val="EndnoteReference"/>
          <w:rFonts w:asciiTheme="majorHAnsi" w:hAnsiTheme="majorHAnsi"/>
          <w:sz w:val="18"/>
          <w:szCs w:val="18"/>
        </w:rPr>
        <w:endnoteRef/>
      </w:r>
      <w:r w:rsidRPr="003969BC">
        <w:rPr>
          <w:rFonts w:asciiTheme="majorHAnsi" w:hAnsiTheme="majorHAnsi"/>
          <w:sz w:val="18"/>
          <w:szCs w:val="18"/>
        </w:rPr>
        <w:t xml:space="preserve"> </w:t>
      </w:r>
      <w:proofErr w:type="spellStart"/>
      <w:r>
        <w:rPr>
          <w:rFonts w:asciiTheme="majorHAnsi" w:hAnsiTheme="majorHAnsi" w:cs="Helvetica"/>
          <w:sz w:val="18"/>
          <w:szCs w:val="18"/>
        </w:rPr>
        <w:t>Kadyrov</w:t>
      </w:r>
      <w:proofErr w:type="spellEnd"/>
      <w:r>
        <w:rPr>
          <w:rFonts w:asciiTheme="majorHAnsi" w:hAnsiTheme="majorHAnsi" w:cs="Helvetica"/>
          <w:sz w:val="18"/>
          <w:szCs w:val="18"/>
        </w:rPr>
        <w:t>, ‘Analytical Space and Work in Russia’</w:t>
      </w:r>
      <w:r w:rsidRPr="003969BC">
        <w:rPr>
          <w:rFonts w:asciiTheme="majorHAnsi" w:hAnsiTheme="majorHAnsi" w:cs="Helvetica"/>
          <w:sz w:val="18"/>
          <w:szCs w:val="18"/>
        </w:rPr>
        <w:t>, p. 475.</w:t>
      </w:r>
    </w:p>
    <w:p w14:paraId="60B8DF61" w14:textId="77777777" w:rsidR="007D6FA8" w:rsidRPr="003969BC" w:rsidRDefault="007D6FA8" w:rsidP="00DD2D94">
      <w:pPr>
        <w:widowControl w:val="0"/>
        <w:autoSpaceDE w:val="0"/>
        <w:autoSpaceDN w:val="0"/>
        <w:adjustRightInd w:val="0"/>
        <w:spacing w:after="80"/>
        <w:rPr>
          <w:rFonts w:asciiTheme="majorHAnsi" w:hAnsiTheme="majorHAnsi" w:cs="Helvetica"/>
          <w:sz w:val="18"/>
          <w:szCs w:val="18"/>
        </w:rPr>
      </w:pPr>
    </w:p>
  </w:endnote>
  <w:endnote w:id="32">
    <w:p w14:paraId="2F5E7524" w14:textId="61BCF93E" w:rsidR="007D6FA8" w:rsidRPr="003969BC" w:rsidRDefault="007D6FA8" w:rsidP="00F00655">
      <w:pPr>
        <w:pStyle w:val="EndnoteText"/>
        <w:rPr>
          <w:rFonts w:asciiTheme="majorHAnsi" w:hAnsiTheme="majorHAnsi"/>
          <w:sz w:val="18"/>
          <w:szCs w:val="18"/>
        </w:rPr>
      </w:pPr>
      <w:r w:rsidRPr="003969BC">
        <w:rPr>
          <w:rStyle w:val="EndnoteReference"/>
          <w:rFonts w:asciiTheme="majorHAnsi" w:hAnsiTheme="majorHAnsi"/>
          <w:sz w:val="18"/>
          <w:szCs w:val="18"/>
        </w:rPr>
        <w:endnoteRef/>
      </w:r>
      <w:r w:rsidRPr="003969BC">
        <w:rPr>
          <w:rFonts w:asciiTheme="majorHAnsi" w:hAnsiTheme="majorHAnsi"/>
          <w:sz w:val="18"/>
          <w:szCs w:val="18"/>
        </w:rPr>
        <w:t xml:space="preserve"> </w:t>
      </w:r>
      <w:proofErr w:type="spellStart"/>
      <w:r w:rsidRPr="003969BC">
        <w:rPr>
          <w:rFonts w:asciiTheme="majorHAnsi" w:hAnsiTheme="majorHAnsi"/>
          <w:sz w:val="18"/>
          <w:szCs w:val="18"/>
        </w:rPr>
        <w:t>Penezhko</w:t>
      </w:r>
      <w:proofErr w:type="spellEnd"/>
      <w:r>
        <w:rPr>
          <w:rFonts w:asciiTheme="majorHAnsi" w:hAnsiTheme="majorHAnsi"/>
          <w:sz w:val="18"/>
          <w:szCs w:val="18"/>
        </w:rPr>
        <w:t xml:space="preserve"> et al.</w:t>
      </w:r>
      <w:r w:rsidRPr="003969BC">
        <w:rPr>
          <w:rFonts w:asciiTheme="majorHAnsi" w:hAnsiTheme="majorHAnsi"/>
          <w:sz w:val="18"/>
          <w:szCs w:val="18"/>
        </w:rPr>
        <w:t xml:space="preserve">, </w:t>
      </w:r>
      <w:proofErr w:type="spellStart"/>
      <w:r w:rsidRPr="003969BC">
        <w:rPr>
          <w:rFonts w:asciiTheme="majorHAnsi" w:hAnsiTheme="majorHAnsi"/>
          <w:i/>
          <w:sz w:val="18"/>
          <w:szCs w:val="18"/>
        </w:rPr>
        <w:t>Schechtel</w:t>
      </w:r>
      <w:proofErr w:type="spellEnd"/>
      <w:r w:rsidRPr="003969BC">
        <w:rPr>
          <w:rFonts w:asciiTheme="majorHAnsi" w:hAnsiTheme="majorHAnsi"/>
          <w:i/>
          <w:sz w:val="18"/>
          <w:szCs w:val="18"/>
        </w:rPr>
        <w:t xml:space="preserve">, </w:t>
      </w:r>
      <w:proofErr w:type="spellStart"/>
      <w:r w:rsidRPr="003969BC">
        <w:rPr>
          <w:rFonts w:asciiTheme="majorHAnsi" w:hAnsiTheme="majorHAnsi"/>
          <w:i/>
          <w:sz w:val="18"/>
          <w:szCs w:val="18"/>
        </w:rPr>
        <w:t>Ryabushinskiy</w:t>
      </w:r>
      <w:proofErr w:type="spellEnd"/>
      <w:r w:rsidRPr="003969BC">
        <w:rPr>
          <w:rFonts w:asciiTheme="majorHAnsi" w:hAnsiTheme="majorHAnsi"/>
          <w:i/>
          <w:sz w:val="18"/>
          <w:szCs w:val="18"/>
        </w:rPr>
        <w:t>, Gorky</w:t>
      </w:r>
      <w:r>
        <w:rPr>
          <w:rFonts w:asciiTheme="majorHAnsi" w:hAnsiTheme="majorHAnsi"/>
          <w:sz w:val="18"/>
          <w:szCs w:val="18"/>
        </w:rPr>
        <w:t xml:space="preserve">, </w:t>
      </w:r>
      <w:r w:rsidRPr="003969BC">
        <w:rPr>
          <w:rFonts w:asciiTheme="majorHAnsi" w:hAnsiTheme="majorHAnsi"/>
          <w:sz w:val="18"/>
          <w:szCs w:val="18"/>
        </w:rPr>
        <w:t xml:space="preserve">p. 75. </w:t>
      </w:r>
    </w:p>
    <w:p w14:paraId="55C0A4F1" w14:textId="77777777" w:rsidR="007D6FA8" w:rsidRPr="003969BC" w:rsidRDefault="007D6FA8" w:rsidP="00F00655">
      <w:pPr>
        <w:pStyle w:val="EndnoteText"/>
        <w:rPr>
          <w:rFonts w:asciiTheme="majorHAnsi" w:hAnsiTheme="majorHAnsi"/>
          <w:sz w:val="18"/>
          <w:szCs w:val="18"/>
        </w:rPr>
      </w:pPr>
    </w:p>
  </w:endnote>
  <w:endnote w:id="33">
    <w:p w14:paraId="5A849A99" w14:textId="4BDD1D24" w:rsidR="007D6FA8" w:rsidRPr="003969BC" w:rsidRDefault="007D6FA8" w:rsidP="00F00655">
      <w:pPr>
        <w:pStyle w:val="EndnoteText"/>
        <w:rPr>
          <w:rFonts w:asciiTheme="majorHAnsi" w:hAnsiTheme="majorHAnsi"/>
          <w:sz w:val="18"/>
          <w:szCs w:val="18"/>
        </w:rPr>
      </w:pPr>
      <w:r w:rsidRPr="003969BC">
        <w:rPr>
          <w:rStyle w:val="EndnoteReference"/>
          <w:rFonts w:asciiTheme="majorHAnsi" w:hAnsiTheme="majorHAnsi"/>
          <w:sz w:val="18"/>
          <w:szCs w:val="18"/>
        </w:rPr>
        <w:endnoteRef/>
      </w:r>
      <w:r>
        <w:rPr>
          <w:rFonts w:asciiTheme="majorHAnsi" w:hAnsiTheme="majorHAnsi"/>
          <w:sz w:val="18"/>
          <w:szCs w:val="18"/>
        </w:rPr>
        <w:t xml:space="preserve"> </w:t>
      </w:r>
      <w:proofErr w:type="spellStart"/>
      <w:r w:rsidRPr="003969BC">
        <w:rPr>
          <w:rFonts w:asciiTheme="majorHAnsi" w:hAnsiTheme="majorHAnsi"/>
          <w:sz w:val="18"/>
          <w:szCs w:val="18"/>
        </w:rPr>
        <w:t>Penezhko</w:t>
      </w:r>
      <w:proofErr w:type="spellEnd"/>
      <w:r>
        <w:rPr>
          <w:rFonts w:asciiTheme="majorHAnsi" w:hAnsiTheme="majorHAnsi"/>
          <w:sz w:val="18"/>
          <w:szCs w:val="18"/>
        </w:rPr>
        <w:t xml:space="preserve"> et al.</w:t>
      </w:r>
      <w:r w:rsidRPr="003969BC">
        <w:rPr>
          <w:rFonts w:asciiTheme="majorHAnsi" w:hAnsiTheme="majorHAnsi"/>
          <w:sz w:val="18"/>
          <w:szCs w:val="18"/>
        </w:rPr>
        <w:t xml:space="preserve">, </w:t>
      </w:r>
      <w:proofErr w:type="spellStart"/>
      <w:r w:rsidRPr="003969BC">
        <w:rPr>
          <w:rFonts w:asciiTheme="majorHAnsi" w:hAnsiTheme="majorHAnsi"/>
          <w:i/>
          <w:sz w:val="18"/>
          <w:szCs w:val="18"/>
        </w:rPr>
        <w:t>Schechtel</w:t>
      </w:r>
      <w:proofErr w:type="spellEnd"/>
      <w:r w:rsidRPr="003969BC">
        <w:rPr>
          <w:rFonts w:asciiTheme="majorHAnsi" w:hAnsiTheme="majorHAnsi"/>
          <w:i/>
          <w:sz w:val="18"/>
          <w:szCs w:val="18"/>
        </w:rPr>
        <w:t xml:space="preserve">, </w:t>
      </w:r>
      <w:proofErr w:type="spellStart"/>
      <w:r w:rsidRPr="003969BC">
        <w:rPr>
          <w:rFonts w:asciiTheme="majorHAnsi" w:hAnsiTheme="majorHAnsi"/>
          <w:i/>
          <w:sz w:val="18"/>
          <w:szCs w:val="18"/>
        </w:rPr>
        <w:t>Ryabushinskiy</w:t>
      </w:r>
      <w:proofErr w:type="spellEnd"/>
      <w:r w:rsidRPr="003969BC">
        <w:rPr>
          <w:rFonts w:asciiTheme="majorHAnsi" w:hAnsiTheme="majorHAnsi"/>
          <w:i/>
          <w:sz w:val="18"/>
          <w:szCs w:val="18"/>
        </w:rPr>
        <w:t>, Gorky</w:t>
      </w:r>
      <w:r>
        <w:rPr>
          <w:rFonts w:asciiTheme="majorHAnsi" w:hAnsiTheme="majorHAnsi"/>
          <w:sz w:val="18"/>
          <w:szCs w:val="18"/>
        </w:rPr>
        <w:t xml:space="preserve">, </w:t>
      </w:r>
      <w:r w:rsidRPr="003969BC">
        <w:rPr>
          <w:rFonts w:asciiTheme="majorHAnsi" w:hAnsiTheme="majorHAnsi"/>
          <w:sz w:val="18"/>
          <w:szCs w:val="18"/>
        </w:rPr>
        <w:t xml:space="preserve">p. 78. </w:t>
      </w:r>
    </w:p>
    <w:p w14:paraId="2C2BD2C0" w14:textId="77777777" w:rsidR="007D6FA8" w:rsidRPr="003969BC" w:rsidRDefault="007D6FA8" w:rsidP="00F00655">
      <w:pPr>
        <w:pStyle w:val="EndnoteText"/>
        <w:rPr>
          <w:rFonts w:asciiTheme="majorHAnsi" w:hAnsiTheme="majorHAnsi"/>
          <w:sz w:val="18"/>
          <w:szCs w:val="18"/>
        </w:rPr>
      </w:pPr>
    </w:p>
  </w:endnote>
  <w:endnote w:id="34">
    <w:p w14:paraId="2840CA32" w14:textId="44E3D120" w:rsidR="007D6FA8" w:rsidRPr="003969BC" w:rsidRDefault="007D6FA8" w:rsidP="00F00655">
      <w:pPr>
        <w:pStyle w:val="EndnoteText"/>
        <w:rPr>
          <w:rFonts w:asciiTheme="majorHAnsi" w:hAnsiTheme="majorHAnsi"/>
          <w:sz w:val="18"/>
          <w:szCs w:val="18"/>
        </w:rPr>
      </w:pPr>
      <w:r w:rsidRPr="003969BC">
        <w:rPr>
          <w:rStyle w:val="EndnoteReference"/>
          <w:rFonts w:asciiTheme="majorHAnsi" w:hAnsiTheme="majorHAnsi"/>
          <w:sz w:val="18"/>
          <w:szCs w:val="18"/>
        </w:rPr>
        <w:endnoteRef/>
      </w:r>
      <w:r>
        <w:rPr>
          <w:rFonts w:asciiTheme="majorHAnsi" w:hAnsiTheme="majorHAnsi"/>
          <w:sz w:val="18"/>
          <w:szCs w:val="18"/>
        </w:rPr>
        <w:t xml:space="preserve"> </w:t>
      </w:r>
      <w:proofErr w:type="spellStart"/>
      <w:r w:rsidRPr="003969BC">
        <w:rPr>
          <w:rFonts w:asciiTheme="majorHAnsi" w:hAnsiTheme="majorHAnsi"/>
          <w:sz w:val="18"/>
          <w:szCs w:val="18"/>
        </w:rPr>
        <w:t>Penezhko</w:t>
      </w:r>
      <w:proofErr w:type="spellEnd"/>
      <w:r>
        <w:rPr>
          <w:rFonts w:asciiTheme="majorHAnsi" w:hAnsiTheme="majorHAnsi"/>
          <w:sz w:val="18"/>
          <w:szCs w:val="18"/>
        </w:rPr>
        <w:t xml:space="preserve"> et al.</w:t>
      </w:r>
      <w:r w:rsidRPr="003969BC">
        <w:rPr>
          <w:rFonts w:asciiTheme="majorHAnsi" w:hAnsiTheme="majorHAnsi"/>
          <w:sz w:val="18"/>
          <w:szCs w:val="18"/>
        </w:rPr>
        <w:t xml:space="preserve">, </w:t>
      </w:r>
      <w:proofErr w:type="spellStart"/>
      <w:r w:rsidRPr="003969BC">
        <w:rPr>
          <w:rFonts w:asciiTheme="majorHAnsi" w:hAnsiTheme="majorHAnsi"/>
          <w:i/>
          <w:sz w:val="18"/>
          <w:szCs w:val="18"/>
        </w:rPr>
        <w:t>Schechtel</w:t>
      </w:r>
      <w:proofErr w:type="spellEnd"/>
      <w:r w:rsidRPr="003969BC">
        <w:rPr>
          <w:rFonts w:asciiTheme="majorHAnsi" w:hAnsiTheme="majorHAnsi"/>
          <w:i/>
          <w:sz w:val="18"/>
          <w:szCs w:val="18"/>
        </w:rPr>
        <w:t xml:space="preserve">, </w:t>
      </w:r>
      <w:proofErr w:type="spellStart"/>
      <w:r w:rsidRPr="003969BC">
        <w:rPr>
          <w:rFonts w:asciiTheme="majorHAnsi" w:hAnsiTheme="majorHAnsi"/>
          <w:i/>
          <w:sz w:val="18"/>
          <w:szCs w:val="18"/>
        </w:rPr>
        <w:t>Ryabushinskiy</w:t>
      </w:r>
      <w:proofErr w:type="spellEnd"/>
      <w:r w:rsidRPr="003969BC">
        <w:rPr>
          <w:rFonts w:asciiTheme="majorHAnsi" w:hAnsiTheme="majorHAnsi"/>
          <w:i/>
          <w:sz w:val="18"/>
          <w:szCs w:val="18"/>
        </w:rPr>
        <w:t>, Gorky</w:t>
      </w:r>
      <w:r>
        <w:rPr>
          <w:rFonts w:asciiTheme="majorHAnsi" w:hAnsiTheme="majorHAnsi"/>
          <w:sz w:val="18"/>
          <w:szCs w:val="18"/>
        </w:rPr>
        <w:t xml:space="preserve">, </w:t>
      </w:r>
      <w:r w:rsidRPr="003969BC">
        <w:rPr>
          <w:rFonts w:asciiTheme="majorHAnsi" w:hAnsiTheme="majorHAnsi"/>
          <w:sz w:val="18"/>
          <w:szCs w:val="18"/>
        </w:rPr>
        <w:t xml:space="preserve">p. 77. </w:t>
      </w:r>
    </w:p>
    <w:p w14:paraId="5899ADB7" w14:textId="77777777" w:rsidR="007D6FA8" w:rsidRPr="003969BC" w:rsidRDefault="007D6FA8" w:rsidP="00F00655">
      <w:pPr>
        <w:pStyle w:val="EndnoteText"/>
        <w:rPr>
          <w:rFonts w:asciiTheme="majorHAnsi" w:hAnsiTheme="majorHAnsi"/>
          <w:sz w:val="18"/>
          <w:szCs w:val="18"/>
        </w:rPr>
      </w:pPr>
    </w:p>
  </w:endnote>
  <w:endnote w:id="35">
    <w:p w14:paraId="1AAA1F3F" w14:textId="2302800F" w:rsidR="007D6FA8" w:rsidRPr="003969BC" w:rsidRDefault="007D6FA8" w:rsidP="00F00655">
      <w:pPr>
        <w:pStyle w:val="EndnoteText"/>
        <w:rPr>
          <w:rFonts w:asciiTheme="majorHAnsi" w:hAnsiTheme="majorHAnsi"/>
          <w:sz w:val="18"/>
          <w:szCs w:val="18"/>
        </w:rPr>
      </w:pPr>
      <w:r w:rsidRPr="003969BC">
        <w:rPr>
          <w:rStyle w:val="EndnoteReference"/>
          <w:rFonts w:asciiTheme="majorHAnsi" w:hAnsiTheme="majorHAnsi"/>
          <w:sz w:val="18"/>
          <w:szCs w:val="18"/>
        </w:rPr>
        <w:endnoteRef/>
      </w:r>
      <w:r>
        <w:rPr>
          <w:rFonts w:asciiTheme="majorHAnsi" w:hAnsiTheme="majorHAnsi"/>
          <w:sz w:val="18"/>
          <w:szCs w:val="18"/>
        </w:rPr>
        <w:t xml:space="preserve"> </w:t>
      </w:r>
      <w:proofErr w:type="spellStart"/>
      <w:r w:rsidRPr="003969BC">
        <w:rPr>
          <w:rFonts w:asciiTheme="majorHAnsi" w:hAnsiTheme="majorHAnsi"/>
          <w:sz w:val="18"/>
          <w:szCs w:val="18"/>
        </w:rPr>
        <w:t>Penezhko</w:t>
      </w:r>
      <w:proofErr w:type="spellEnd"/>
      <w:r>
        <w:rPr>
          <w:rFonts w:asciiTheme="majorHAnsi" w:hAnsiTheme="majorHAnsi"/>
          <w:sz w:val="18"/>
          <w:szCs w:val="18"/>
        </w:rPr>
        <w:t xml:space="preserve"> et al.</w:t>
      </w:r>
      <w:r w:rsidRPr="003969BC">
        <w:rPr>
          <w:rFonts w:asciiTheme="majorHAnsi" w:hAnsiTheme="majorHAnsi"/>
          <w:sz w:val="18"/>
          <w:szCs w:val="18"/>
        </w:rPr>
        <w:t xml:space="preserve">, </w:t>
      </w:r>
      <w:proofErr w:type="spellStart"/>
      <w:r w:rsidRPr="003969BC">
        <w:rPr>
          <w:rFonts w:asciiTheme="majorHAnsi" w:hAnsiTheme="majorHAnsi"/>
          <w:i/>
          <w:sz w:val="18"/>
          <w:szCs w:val="18"/>
        </w:rPr>
        <w:t>Schechtel</w:t>
      </w:r>
      <w:proofErr w:type="spellEnd"/>
      <w:r w:rsidRPr="003969BC">
        <w:rPr>
          <w:rFonts w:asciiTheme="majorHAnsi" w:hAnsiTheme="majorHAnsi"/>
          <w:i/>
          <w:sz w:val="18"/>
          <w:szCs w:val="18"/>
        </w:rPr>
        <w:t xml:space="preserve">, </w:t>
      </w:r>
      <w:proofErr w:type="spellStart"/>
      <w:r w:rsidRPr="003969BC">
        <w:rPr>
          <w:rFonts w:asciiTheme="majorHAnsi" w:hAnsiTheme="majorHAnsi"/>
          <w:i/>
          <w:sz w:val="18"/>
          <w:szCs w:val="18"/>
        </w:rPr>
        <w:t>Ryabushinskiy</w:t>
      </w:r>
      <w:proofErr w:type="spellEnd"/>
      <w:r w:rsidRPr="003969BC">
        <w:rPr>
          <w:rFonts w:asciiTheme="majorHAnsi" w:hAnsiTheme="majorHAnsi"/>
          <w:i/>
          <w:sz w:val="18"/>
          <w:szCs w:val="18"/>
        </w:rPr>
        <w:t>, Gorky</w:t>
      </w:r>
      <w:r>
        <w:rPr>
          <w:rFonts w:asciiTheme="majorHAnsi" w:hAnsiTheme="majorHAnsi"/>
          <w:sz w:val="18"/>
          <w:szCs w:val="18"/>
        </w:rPr>
        <w:t xml:space="preserve">, </w:t>
      </w:r>
      <w:r w:rsidRPr="003969BC">
        <w:rPr>
          <w:rFonts w:asciiTheme="majorHAnsi" w:hAnsiTheme="majorHAnsi"/>
          <w:sz w:val="18"/>
          <w:szCs w:val="18"/>
        </w:rPr>
        <w:t xml:space="preserve">p. 77. </w:t>
      </w:r>
    </w:p>
    <w:p w14:paraId="0B7D7E98" w14:textId="77777777" w:rsidR="007D6FA8" w:rsidRPr="003969BC" w:rsidRDefault="007D6FA8" w:rsidP="00F00655">
      <w:pPr>
        <w:pStyle w:val="EndnoteText"/>
        <w:rPr>
          <w:rFonts w:asciiTheme="majorHAnsi" w:hAnsiTheme="maj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New York">
    <w:panose1 w:val="00000000000000000000"/>
    <w:charset w:val="4D"/>
    <w:family w:val="roman"/>
    <w:notTrueType/>
    <w:pitch w:val="variable"/>
    <w:sig w:usb0="00000003" w:usb1="00000000" w:usb2="00000000" w:usb3="00000000" w:csb0="00000001" w:csb1="00000000"/>
  </w:font>
  <w:font w:name="News Gothic">
    <w:altName w:val="News Gothic MT"/>
    <w:charset w:val="00"/>
    <w:family w:val="auto"/>
    <w:pitch w:val="variable"/>
    <w:sig w:usb0="03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4C8CF" w14:textId="77777777" w:rsidR="0095264A" w:rsidRDefault="0095264A">
      <w:r>
        <w:separator/>
      </w:r>
    </w:p>
  </w:footnote>
  <w:footnote w:type="continuationSeparator" w:id="0">
    <w:p w14:paraId="12A96496" w14:textId="77777777" w:rsidR="0095264A" w:rsidRDefault="0095264A">
      <w:r>
        <w:continuationSeparator/>
      </w:r>
    </w:p>
  </w:footnote>
  <w:footnote w:id="1">
    <w:p w14:paraId="5CB46C18" w14:textId="77777777" w:rsidR="00967025" w:rsidRPr="00967025" w:rsidRDefault="00967025" w:rsidP="00967025">
      <w:pPr>
        <w:rPr>
          <w:rFonts w:ascii="Times New Roman" w:eastAsia="Times New Roman" w:hAnsi="Times New Roman" w:cs="Times New Roman"/>
          <w:sz w:val="22"/>
          <w:szCs w:val="22"/>
          <w:lang w:val="en-GB" w:eastAsia="en-GB"/>
        </w:rPr>
      </w:pPr>
      <w:r w:rsidRPr="00967025">
        <w:rPr>
          <w:rStyle w:val="FootnoteReference"/>
          <w:rFonts w:ascii="Times New Roman" w:hAnsi="Times New Roman" w:cs="Times New Roman"/>
          <w:sz w:val="22"/>
          <w:szCs w:val="22"/>
        </w:rPr>
        <w:footnoteRef/>
      </w:r>
      <w:r w:rsidRPr="00967025">
        <w:rPr>
          <w:rFonts w:ascii="Times New Roman" w:hAnsi="Times New Roman" w:cs="Times New Roman"/>
          <w:sz w:val="22"/>
          <w:szCs w:val="22"/>
        </w:rPr>
        <w:t xml:space="preserve"> </w:t>
      </w:r>
      <w:r w:rsidRPr="00967025">
        <w:rPr>
          <w:rFonts w:ascii="Times New Roman" w:eastAsia="Times New Roman" w:hAnsi="Times New Roman" w:cs="Times New Roman"/>
          <w:color w:val="222222"/>
          <w:sz w:val="22"/>
          <w:szCs w:val="22"/>
          <w:shd w:val="clear" w:color="auto" w:fill="FFFFFF"/>
          <w:lang w:val="en-GB" w:eastAsia="en-GB"/>
        </w:rPr>
        <w:t> ‘This material has been extracted and reworked from Jane Rendell, </w:t>
      </w:r>
      <w:r w:rsidRPr="00967025">
        <w:rPr>
          <w:rFonts w:ascii="Times New Roman" w:eastAsia="Times New Roman" w:hAnsi="Times New Roman" w:cs="Times New Roman"/>
          <w:i/>
          <w:iCs/>
          <w:color w:val="222222"/>
          <w:sz w:val="22"/>
          <w:szCs w:val="22"/>
          <w:shd w:val="clear" w:color="auto" w:fill="FFFFFF"/>
          <w:lang w:val="en-GB" w:eastAsia="en-GB"/>
        </w:rPr>
        <w:t>The Architecture of Psychoanalysis </w:t>
      </w:r>
      <w:r w:rsidRPr="00967025">
        <w:rPr>
          <w:rFonts w:ascii="Times New Roman" w:eastAsia="Times New Roman" w:hAnsi="Times New Roman" w:cs="Times New Roman"/>
          <w:color w:val="222222"/>
          <w:sz w:val="22"/>
          <w:szCs w:val="22"/>
          <w:shd w:val="clear" w:color="auto" w:fill="FFFFFF"/>
          <w:lang w:val="en-GB" w:eastAsia="en-GB"/>
        </w:rPr>
        <w:t>(London: IB Tauris, 2017).’</w:t>
      </w:r>
    </w:p>
    <w:p w14:paraId="778C2C74" w14:textId="2559C65F" w:rsidR="00967025" w:rsidRPr="00967025" w:rsidRDefault="00967025">
      <w:pPr>
        <w:pStyle w:val="FootnoteText"/>
        <w:rPr>
          <w:rFonts w:ascii="Times New Roman" w:hAnsi="Times New Roman"/>
          <w:sz w:val="22"/>
          <w:szCs w:val="22"/>
          <w:lang w:val="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0468B"/>
    <w:multiLevelType w:val="multilevel"/>
    <w:tmpl w:val="5E5ED70E"/>
    <w:lvl w:ilvl="0">
      <w:start w:val="1"/>
      <w:numFmt w:val="decimal"/>
      <w:lvlText w:val="%1."/>
      <w:lvlJc w:val="left"/>
      <w:pPr>
        <w:tabs>
          <w:tab w:val="left" w:pos="960"/>
        </w:tabs>
        <w:ind w:left="960" w:hanging="480"/>
      </w:pPr>
      <w:rPr>
        <w:rFonts w:asciiTheme="majorHAnsi" w:eastAsiaTheme="minorHAnsi" w:hAnsiTheme="majorHAnsi" w:cs="Times"/>
        <w:b w:val="0"/>
      </w:rPr>
    </w:lvl>
    <w:lvl w:ilvl="1">
      <w:start w:val="1"/>
      <w:numFmt w:val="lowerLetter"/>
      <w:lvlText w:val="(%2)"/>
      <w:lvlJc w:val="left"/>
      <w:pPr>
        <w:tabs>
          <w:tab w:val="left" w:pos="1440"/>
        </w:tabs>
        <w:ind w:left="1440" w:hanging="480"/>
      </w:pPr>
    </w:lvl>
    <w:lvl w:ilvl="2">
      <w:start w:val="1"/>
      <w:numFmt w:val="lowerRoman"/>
      <w:lvlText w:val="(%3)"/>
      <w:lvlJc w:val="left"/>
      <w:pPr>
        <w:tabs>
          <w:tab w:val="left" w:pos="1920"/>
        </w:tabs>
        <w:ind w:left="1920" w:hanging="480"/>
      </w:pPr>
    </w:lvl>
    <w:lvl w:ilvl="3">
      <w:start w:val="1"/>
      <w:numFmt w:val="upperLetter"/>
      <w:lvlText w:val="%4."/>
      <w:lvlJc w:val="left"/>
      <w:pPr>
        <w:tabs>
          <w:tab w:val="left" w:pos="2400"/>
        </w:tabs>
        <w:ind w:left="2400" w:hanging="480"/>
      </w:pPr>
    </w:lvl>
    <w:lvl w:ilvl="4">
      <w:start w:val="1"/>
      <w:numFmt w:val="decimal"/>
      <w:lvlText w:val="%5."/>
      <w:lvlJc w:val="left"/>
      <w:pPr>
        <w:tabs>
          <w:tab w:val="left" w:pos="2880"/>
        </w:tabs>
        <w:ind w:left="2880" w:hanging="48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267F1DA8"/>
    <w:multiLevelType w:val="hybridMultilevel"/>
    <w:tmpl w:val="617C6C00"/>
    <w:lvl w:ilvl="0" w:tplc="CD62E7C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BBC18A"/>
    <w:multiLevelType w:val="multilevel"/>
    <w:tmpl w:val="5E5ED70E"/>
    <w:name w:val="Numbered list 1"/>
    <w:lvl w:ilvl="0">
      <w:start w:val="1"/>
      <w:numFmt w:val="decimal"/>
      <w:lvlText w:val="%1."/>
      <w:lvlJc w:val="left"/>
      <w:pPr>
        <w:tabs>
          <w:tab w:val="left" w:pos="960"/>
        </w:tabs>
        <w:ind w:left="960" w:hanging="480"/>
      </w:pPr>
      <w:rPr>
        <w:rFonts w:asciiTheme="majorHAnsi" w:eastAsiaTheme="minorHAnsi" w:hAnsiTheme="majorHAnsi" w:cs="Times"/>
        <w:b w:val="0"/>
      </w:rPr>
    </w:lvl>
    <w:lvl w:ilvl="1">
      <w:start w:val="1"/>
      <w:numFmt w:val="lowerLetter"/>
      <w:lvlText w:val="(%2)"/>
      <w:lvlJc w:val="left"/>
      <w:pPr>
        <w:tabs>
          <w:tab w:val="left" w:pos="1440"/>
        </w:tabs>
        <w:ind w:left="1440" w:hanging="480"/>
      </w:pPr>
    </w:lvl>
    <w:lvl w:ilvl="2">
      <w:start w:val="1"/>
      <w:numFmt w:val="lowerRoman"/>
      <w:lvlText w:val="(%3)"/>
      <w:lvlJc w:val="left"/>
      <w:pPr>
        <w:tabs>
          <w:tab w:val="left" w:pos="1920"/>
        </w:tabs>
        <w:ind w:left="1920" w:hanging="480"/>
      </w:pPr>
    </w:lvl>
    <w:lvl w:ilvl="3">
      <w:start w:val="1"/>
      <w:numFmt w:val="upperLetter"/>
      <w:lvlText w:val="%4."/>
      <w:lvlJc w:val="left"/>
      <w:pPr>
        <w:tabs>
          <w:tab w:val="left" w:pos="2400"/>
        </w:tabs>
        <w:ind w:left="2400" w:hanging="480"/>
      </w:pPr>
    </w:lvl>
    <w:lvl w:ilvl="4">
      <w:start w:val="1"/>
      <w:numFmt w:val="decimal"/>
      <w:lvlText w:val="%5."/>
      <w:lvlJc w:val="left"/>
      <w:pPr>
        <w:tabs>
          <w:tab w:val="left" w:pos="2880"/>
        </w:tabs>
        <w:ind w:left="2880" w:hanging="48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556A78DB"/>
    <w:multiLevelType w:val="hybridMultilevel"/>
    <w:tmpl w:val="6846CDEC"/>
    <w:lvl w:ilvl="0" w:tplc="68E45E46">
      <w:start w:val="1"/>
      <w:numFmt w:val="bullet"/>
      <w:lvlText w:val="•"/>
      <w:lvlJc w:val="left"/>
      <w:pPr>
        <w:tabs>
          <w:tab w:val="num" w:pos="720"/>
        </w:tabs>
        <w:ind w:left="720" w:hanging="360"/>
      </w:pPr>
      <w:rPr>
        <w:rFonts w:ascii="Times" w:hAnsi="Times" w:hint="default"/>
      </w:rPr>
    </w:lvl>
    <w:lvl w:ilvl="1" w:tplc="309AF808" w:tentative="1">
      <w:start w:val="1"/>
      <w:numFmt w:val="bullet"/>
      <w:lvlText w:val="•"/>
      <w:lvlJc w:val="left"/>
      <w:pPr>
        <w:tabs>
          <w:tab w:val="num" w:pos="1440"/>
        </w:tabs>
        <w:ind w:left="1440" w:hanging="360"/>
      </w:pPr>
      <w:rPr>
        <w:rFonts w:ascii="Times" w:hAnsi="Times" w:hint="default"/>
      </w:rPr>
    </w:lvl>
    <w:lvl w:ilvl="2" w:tplc="10E696E6" w:tentative="1">
      <w:start w:val="1"/>
      <w:numFmt w:val="bullet"/>
      <w:lvlText w:val="•"/>
      <w:lvlJc w:val="left"/>
      <w:pPr>
        <w:tabs>
          <w:tab w:val="num" w:pos="2160"/>
        </w:tabs>
        <w:ind w:left="2160" w:hanging="360"/>
      </w:pPr>
      <w:rPr>
        <w:rFonts w:ascii="Times" w:hAnsi="Times" w:hint="default"/>
      </w:rPr>
    </w:lvl>
    <w:lvl w:ilvl="3" w:tplc="8E863CAC" w:tentative="1">
      <w:start w:val="1"/>
      <w:numFmt w:val="bullet"/>
      <w:lvlText w:val="•"/>
      <w:lvlJc w:val="left"/>
      <w:pPr>
        <w:tabs>
          <w:tab w:val="num" w:pos="2880"/>
        </w:tabs>
        <w:ind w:left="2880" w:hanging="360"/>
      </w:pPr>
      <w:rPr>
        <w:rFonts w:ascii="Times" w:hAnsi="Times" w:hint="default"/>
      </w:rPr>
    </w:lvl>
    <w:lvl w:ilvl="4" w:tplc="24A40E66" w:tentative="1">
      <w:start w:val="1"/>
      <w:numFmt w:val="bullet"/>
      <w:lvlText w:val="•"/>
      <w:lvlJc w:val="left"/>
      <w:pPr>
        <w:tabs>
          <w:tab w:val="num" w:pos="3600"/>
        </w:tabs>
        <w:ind w:left="3600" w:hanging="360"/>
      </w:pPr>
      <w:rPr>
        <w:rFonts w:ascii="Times" w:hAnsi="Times" w:hint="default"/>
      </w:rPr>
    </w:lvl>
    <w:lvl w:ilvl="5" w:tplc="E10653FA" w:tentative="1">
      <w:start w:val="1"/>
      <w:numFmt w:val="bullet"/>
      <w:lvlText w:val="•"/>
      <w:lvlJc w:val="left"/>
      <w:pPr>
        <w:tabs>
          <w:tab w:val="num" w:pos="4320"/>
        </w:tabs>
        <w:ind w:left="4320" w:hanging="360"/>
      </w:pPr>
      <w:rPr>
        <w:rFonts w:ascii="Times" w:hAnsi="Times" w:hint="default"/>
      </w:rPr>
    </w:lvl>
    <w:lvl w:ilvl="6" w:tplc="EDCAE318" w:tentative="1">
      <w:start w:val="1"/>
      <w:numFmt w:val="bullet"/>
      <w:lvlText w:val="•"/>
      <w:lvlJc w:val="left"/>
      <w:pPr>
        <w:tabs>
          <w:tab w:val="num" w:pos="5040"/>
        </w:tabs>
        <w:ind w:left="5040" w:hanging="360"/>
      </w:pPr>
      <w:rPr>
        <w:rFonts w:ascii="Times" w:hAnsi="Times" w:hint="default"/>
      </w:rPr>
    </w:lvl>
    <w:lvl w:ilvl="7" w:tplc="AB6263B2" w:tentative="1">
      <w:start w:val="1"/>
      <w:numFmt w:val="bullet"/>
      <w:lvlText w:val="•"/>
      <w:lvlJc w:val="left"/>
      <w:pPr>
        <w:tabs>
          <w:tab w:val="num" w:pos="5760"/>
        </w:tabs>
        <w:ind w:left="5760" w:hanging="360"/>
      </w:pPr>
      <w:rPr>
        <w:rFonts w:ascii="Times" w:hAnsi="Times" w:hint="default"/>
      </w:rPr>
    </w:lvl>
    <w:lvl w:ilvl="8" w:tplc="02F85840" w:tentative="1">
      <w:start w:val="1"/>
      <w:numFmt w:val="bullet"/>
      <w:lvlText w:val="•"/>
      <w:lvlJc w:val="left"/>
      <w:pPr>
        <w:tabs>
          <w:tab w:val="num" w:pos="6480"/>
        </w:tabs>
        <w:ind w:left="6480" w:hanging="360"/>
      </w:pPr>
      <w:rPr>
        <w:rFonts w:ascii="Times" w:hAnsi="Time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DB"/>
    <w:rsid w:val="000447E8"/>
    <w:rsid w:val="000470F7"/>
    <w:rsid w:val="00053C87"/>
    <w:rsid w:val="0005652A"/>
    <w:rsid w:val="00077EDE"/>
    <w:rsid w:val="00082D12"/>
    <w:rsid w:val="000956E4"/>
    <w:rsid w:val="000B3666"/>
    <w:rsid w:val="000C58D1"/>
    <w:rsid w:val="000F7C73"/>
    <w:rsid w:val="00112C44"/>
    <w:rsid w:val="00156102"/>
    <w:rsid w:val="00163385"/>
    <w:rsid w:val="001744CC"/>
    <w:rsid w:val="0019556C"/>
    <w:rsid w:val="00197247"/>
    <w:rsid w:val="001C0CDB"/>
    <w:rsid w:val="001E35B3"/>
    <w:rsid w:val="001E4301"/>
    <w:rsid w:val="00205582"/>
    <w:rsid w:val="00230A89"/>
    <w:rsid w:val="00234F1B"/>
    <w:rsid w:val="00271424"/>
    <w:rsid w:val="002C1FD4"/>
    <w:rsid w:val="002D2F09"/>
    <w:rsid w:val="002F6DF2"/>
    <w:rsid w:val="0031487D"/>
    <w:rsid w:val="003329D7"/>
    <w:rsid w:val="00344E8F"/>
    <w:rsid w:val="003530D3"/>
    <w:rsid w:val="00354012"/>
    <w:rsid w:val="00357B61"/>
    <w:rsid w:val="0036347F"/>
    <w:rsid w:val="00393D2C"/>
    <w:rsid w:val="003B7389"/>
    <w:rsid w:val="003E0CB4"/>
    <w:rsid w:val="003E47F7"/>
    <w:rsid w:val="0042092D"/>
    <w:rsid w:val="004222B3"/>
    <w:rsid w:val="00443896"/>
    <w:rsid w:val="00460E33"/>
    <w:rsid w:val="00470CE1"/>
    <w:rsid w:val="004776A8"/>
    <w:rsid w:val="00482E89"/>
    <w:rsid w:val="004946F1"/>
    <w:rsid w:val="004A012E"/>
    <w:rsid w:val="004C1A9B"/>
    <w:rsid w:val="004D60CE"/>
    <w:rsid w:val="004F11ED"/>
    <w:rsid w:val="004F6D21"/>
    <w:rsid w:val="00502374"/>
    <w:rsid w:val="00544C6D"/>
    <w:rsid w:val="00545A99"/>
    <w:rsid w:val="005550F7"/>
    <w:rsid w:val="005718C0"/>
    <w:rsid w:val="00582823"/>
    <w:rsid w:val="00595F32"/>
    <w:rsid w:val="005E44E8"/>
    <w:rsid w:val="00601AF3"/>
    <w:rsid w:val="00604A5D"/>
    <w:rsid w:val="00610B96"/>
    <w:rsid w:val="00636210"/>
    <w:rsid w:val="00640D38"/>
    <w:rsid w:val="006518E4"/>
    <w:rsid w:val="0067254B"/>
    <w:rsid w:val="006809C7"/>
    <w:rsid w:val="006D5418"/>
    <w:rsid w:val="00716AD7"/>
    <w:rsid w:val="0073220E"/>
    <w:rsid w:val="00752D45"/>
    <w:rsid w:val="00772AFE"/>
    <w:rsid w:val="00782AFB"/>
    <w:rsid w:val="00796AEF"/>
    <w:rsid w:val="007D6B92"/>
    <w:rsid w:val="007D6FA8"/>
    <w:rsid w:val="007E27ED"/>
    <w:rsid w:val="007E5081"/>
    <w:rsid w:val="007F06A1"/>
    <w:rsid w:val="0082420C"/>
    <w:rsid w:val="00840477"/>
    <w:rsid w:val="00857B5B"/>
    <w:rsid w:val="00865407"/>
    <w:rsid w:val="00895234"/>
    <w:rsid w:val="008B65AE"/>
    <w:rsid w:val="008C7F17"/>
    <w:rsid w:val="008F3A81"/>
    <w:rsid w:val="00901839"/>
    <w:rsid w:val="00902B42"/>
    <w:rsid w:val="00922654"/>
    <w:rsid w:val="00947C2F"/>
    <w:rsid w:val="0095264A"/>
    <w:rsid w:val="00967025"/>
    <w:rsid w:val="00972B22"/>
    <w:rsid w:val="00A059E3"/>
    <w:rsid w:val="00A11DD9"/>
    <w:rsid w:val="00A15AD4"/>
    <w:rsid w:val="00A174A1"/>
    <w:rsid w:val="00A267B0"/>
    <w:rsid w:val="00A37596"/>
    <w:rsid w:val="00A45F92"/>
    <w:rsid w:val="00A6579E"/>
    <w:rsid w:val="00A66AA7"/>
    <w:rsid w:val="00A861A6"/>
    <w:rsid w:val="00AA0D45"/>
    <w:rsid w:val="00AA74BC"/>
    <w:rsid w:val="00AB22BF"/>
    <w:rsid w:val="00B00936"/>
    <w:rsid w:val="00B00EB3"/>
    <w:rsid w:val="00B01868"/>
    <w:rsid w:val="00B30E37"/>
    <w:rsid w:val="00B42AD3"/>
    <w:rsid w:val="00B62DAA"/>
    <w:rsid w:val="00B670B4"/>
    <w:rsid w:val="00B7560D"/>
    <w:rsid w:val="00B905B8"/>
    <w:rsid w:val="00BC77ED"/>
    <w:rsid w:val="00C10C3D"/>
    <w:rsid w:val="00C141A0"/>
    <w:rsid w:val="00C15D53"/>
    <w:rsid w:val="00C30F8B"/>
    <w:rsid w:val="00C81EBC"/>
    <w:rsid w:val="00C8643E"/>
    <w:rsid w:val="00CE0AE6"/>
    <w:rsid w:val="00D04738"/>
    <w:rsid w:val="00D2121C"/>
    <w:rsid w:val="00D26AC0"/>
    <w:rsid w:val="00D42397"/>
    <w:rsid w:val="00D46A7B"/>
    <w:rsid w:val="00D552EF"/>
    <w:rsid w:val="00D603F2"/>
    <w:rsid w:val="00D63399"/>
    <w:rsid w:val="00D70258"/>
    <w:rsid w:val="00D8717D"/>
    <w:rsid w:val="00D96894"/>
    <w:rsid w:val="00DC5F98"/>
    <w:rsid w:val="00DD2D94"/>
    <w:rsid w:val="00E263E7"/>
    <w:rsid w:val="00E36743"/>
    <w:rsid w:val="00E374F2"/>
    <w:rsid w:val="00E746C7"/>
    <w:rsid w:val="00E87398"/>
    <w:rsid w:val="00EC4380"/>
    <w:rsid w:val="00ED1CEC"/>
    <w:rsid w:val="00ED4349"/>
    <w:rsid w:val="00F00655"/>
    <w:rsid w:val="00F05FF3"/>
    <w:rsid w:val="00F079CE"/>
    <w:rsid w:val="00F25F02"/>
    <w:rsid w:val="00F405B6"/>
    <w:rsid w:val="00F509CB"/>
    <w:rsid w:val="00F652CE"/>
    <w:rsid w:val="00FC7FA3"/>
    <w:rsid w:val="00FD1DAD"/>
  </w:rsids>
  <m:mathPr>
    <m:mathFont m:val="Cambria Math"/>
    <m:brkBin m:val="before"/>
    <m:brkBinSub m:val="--"/>
    <m:smallFrac/>
    <m:dispDef/>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A825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2374"/>
  </w:style>
  <w:style w:type="paragraph" w:styleId="Heading2">
    <w:name w:val="heading 2"/>
    <w:basedOn w:val="Normal"/>
    <w:next w:val="Normal"/>
    <w:link w:val="Heading2Char"/>
    <w:qFormat/>
    <w:rsid w:val="00F509CB"/>
    <w:pPr>
      <w:keepNext/>
      <w:spacing w:line="360" w:lineRule="auto"/>
      <w:outlineLvl w:val="1"/>
    </w:pPr>
    <w:rPr>
      <w:rFonts w:ascii="Verdana" w:eastAsia="Times" w:hAnsi="Verdana" w:cs="Times New Roman"/>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60549"/>
    <w:rPr>
      <w:rFonts w:ascii="Lucida Grande" w:hAnsi="Lucida Grande"/>
      <w:sz w:val="18"/>
      <w:szCs w:val="18"/>
    </w:rPr>
  </w:style>
  <w:style w:type="character" w:customStyle="1" w:styleId="BalloonTextChar">
    <w:name w:val="Balloon Text Char"/>
    <w:basedOn w:val="DefaultParagraphFont"/>
    <w:link w:val="BalloonText"/>
    <w:semiHidden/>
    <w:rsid w:val="00197247"/>
    <w:rPr>
      <w:rFonts w:ascii="Lucida Grande" w:hAnsi="Lucida Grande"/>
      <w:sz w:val="18"/>
      <w:szCs w:val="18"/>
    </w:rPr>
  </w:style>
  <w:style w:type="paragraph" w:styleId="EndnoteText">
    <w:name w:val="endnote text"/>
    <w:basedOn w:val="Normal"/>
    <w:link w:val="EndnoteTextChar"/>
    <w:uiPriority w:val="99"/>
    <w:rsid w:val="001C0CDB"/>
    <w:rPr>
      <w:rFonts w:ascii="Helvetica" w:eastAsia="Times New Roman" w:hAnsi="Helvetica" w:cs="New York"/>
    </w:rPr>
  </w:style>
  <w:style w:type="character" w:customStyle="1" w:styleId="EndnoteTextChar">
    <w:name w:val="Endnote Text Char"/>
    <w:basedOn w:val="DefaultParagraphFont"/>
    <w:link w:val="EndnoteText"/>
    <w:uiPriority w:val="99"/>
    <w:rsid w:val="001C0CDB"/>
    <w:rPr>
      <w:rFonts w:ascii="Helvetica" w:eastAsia="Times New Roman" w:hAnsi="Helvetica" w:cs="New York"/>
      <w:sz w:val="24"/>
      <w:szCs w:val="24"/>
      <w:lang w:val="en-US"/>
    </w:rPr>
  </w:style>
  <w:style w:type="character" w:styleId="EndnoteReference">
    <w:name w:val="endnote reference"/>
    <w:basedOn w:val="DefaultParagraphFont"/>
    <w:uiPriority w:val="99"/>
    <w:rsid w:val="001C0CDB"/>
    <w:rPr>
      <w:vertAlign w:val="superscript"/>
    </w:rPr>
  </w:style>
  <w:style w:type="paragraph" w:styleId="FootnoteText">
    <w:name w:val="footnote text"/>
    <w:basedOn w:val="Normal"/>
    <w:link w:val="FootnoteTextChar"/>
    <w:rsid w:val="001C0CDB"/>
    <w:pPr>
      <w:tabs>
        <w:tab w:val="left" w:pos="567"/>
        <w:tab w:val="right" w:pos="8647"/>
      </w:tabs>
      <w:spacing w:line="360" w:lineRule="exact"/>
    </w:pPr>
    <w:rPr>
      <w:rFonts w:ascii="News Gothic" w:eastAsia="Times" w:hAnsi="News Gothic" w:cs="Times New Roman"/>
      <w:sz w:val="20"/>
      <w:szCs w:val="20"/>
    </w:rPr>
  </w:style>
  <w:style w:type="character" w:customStyle="1" w:styleId="FootnoteTextChar">
    <w:name w:val="Footnote Text Char"/>
    <w:basedOn w:val="DefaultParagraphFont"/>
    <w:link w:val="FootnoteText"/>
    <w:uiPriority w:val="99"/>
    <w:rsid w:val="001C0CDB"/>
    <w:rPr>
      <w:rFonts w:ascii="News Gothic" w:eastAsia="Times" w:hAnsi="News Gothic" w:cs="Times New Roman"/>
    </w:rPr>
  </w:style>
  <w:style w:type="paragraph" w:styleId="BodyText">
    <w:name w:val="Body Text"/>
    <w:basedOn w:val="Normal"/>
    <w:link w:val="BodyTextChar"/>
    <w:rsid w:val="001C0CDB"/>
    <w:pPr>
      <w:spacing w:line="360" w:lineRule="auto"/>
    </w:pPr>
    <w:rPr>
      <w:rFonts w:ascii="Verdana" w:eastAsia="Times" w:hAnsi="Verdana" w:cs="Times New Roman"/>
      <w:sz w:val="22"/>
    </w:rPr>
  </w:style>
  <w:style w:type="character" w:customStyle="1" w:styleId="BodyTextChar">
    <w:name w:val="Body Text Char"/>
    <w:basedOn w:val="DefaultParagraphFont"/>
    <w:link w:val="BodyText"/>
    <w:rsid w:val="001C0CDB"/>
    <w:rPr>
      <w:rFonts w:ascii="Verdana" w:eastAsia="Times" w:hAnsi="Verdana" w:cs="Times New Roman"/>
      <w:sz w:val="22"/>
      <w:szCs w:val="24"/>
    </w:rPr>
  </w:style>
  <w:style w:type="paragraph" w:styleId="BodyText3">
    <w:name w:val="Body Text 3"/>
    <w:basedOn w:val="Normal"/>
    <w:link w:val="BodyText3Char"/>
    <w:rsid w:val="001C0CDB"/>
    <w:pPr>
      <w:spacing w:line="480" w:lineRule="auto"/>
    </w:pPr>
    <w:rPr>
      <w:rFonts w:ascii="Verdana" w:eastAsia="Times" w:hAnsi="Verdana" w:cs="Times New Roman"/>
      <w:sz w:val="22"/>
    </w:rPr>
  </w:style>
  <w:style w:type="character" w:customStyle="1" w:styleId="BodyText3Char">
    <w:name w:val="Body Text 3 Char"/>
    <w:basedOn w:val="DefaultParagraphFont"/>
    <w:link w:val="BodyText3"/>
    <w:rsid w:val="001C0CDB"/>
    <w:rPr>
      <w:rFonts w:ascii="Verdana" w:eastAsia="Times" w:hAnsi="Verdana" w:cs="Times New Roman"/>
      <w:sz w:val="22"/>
      <w:szCs w:val="24"/>
    </w:rPr>
  </w:style>
  <w:style w:type="character" w:styleId="Hyperlink">
    <w:name w:val="Hyperlink"/>
    <w:basedOn w:val="DefaultParagraphFont"/>
    <w:uiPriority w:val="99"/>
    <w:rsid w:val="00D552EF"/>
    <w:rPr>
      <w:color w:val="0000FF"/>
      <w:u w:val="single"/>
    </w:rPr>
  </w:style>
  <w:style w:type="character" w:styleId="FollowedHyperlink">
    <w:name w:val="FollowedHyperlink"/>
    <w:basedOn w:val="DefaultParagraphFont"/>
    <w:uiPriority w:val="99"/>
    <w:semiHidden/>
    <w:unhideWhenUsed/>
    <w:rsid w:val="00482E89"/>
    <w:rPr>
      <w:color w:val="800080" w:themeColor="followedHyperlink"/>
      <w:u w:val="single"/>
    </w:rPr>
  </w:style>
  <w:style w:type="paragraph" w:styleId="Header">
    <w:name w:val="header"/>
    <w:basedOn w:val="Normal"/>
    <w:link w:val="HeaderChar"/>
    <w:uiPriority w:val="99"/>
    <w:unhideWhenUsed/>
    <w:rsid w:val="00470CE1"/>
    <w:pPr>
      <w:tabs>
        <w:tab w:val="center" w:pos="4320"/>
        <w:tab w:val="right" w:pos="8640"/>
      </w:tabs>
    </w:pPr>
  </w:style>
  <w:style w:type="character" w:customStyle="1" w:styleId="HeaderChar">
    <w:name w:val="Header Char"/>
    <w:basedOn w:val="DefaultParagraphFont"/>
    <w:link w:val="Header"/>
    <w:uiPriority w:val="99"/>
    <w:rsid w:val="00470CE1"/>
    <w:rPr>
      <w:sz w:val="24"/>
      <w:szCs w:val="24"/>
    </w:rPr>
  </w:style>
  <w:style w:type="paragraph" w:styleId="Footer">
    <w:name w:val="footer"/>
    <w:basedOn w:val="Normal"/>
    <w:link w:val="FooterChar"/>
    <w:uiPriority w:val="99"/>
    <w:unhideWhenUsed/>
    <w:rsid w:val="00470CE1"/>
    <w:pPr>
      <w:tabs>
        <w:tab w:val="center" w:pos="4320"/>
        <w:tab w:val="right" w:pos="8640"/>
      </w:tabs>
    </w:pPr>
  </w:style>
  <w:style w:type="character" w:customStyle="1" w:styleId="FooterChar">
    <w:name w:val="Footer Char"/>
    <w:basedOn w:val="DefaultParagraphFont"/>
    <w:link w:val="Footer"/>
    <w:uiPriority w:val="99"/>
    <w:rsid w:val="00470CE1"/>
    <w:rPr>
      <w:sz w:val="24"/>
      <w:szCs w:val="24"/>
    </w:rPr>
  </w:style>
  <w:style w:type="character" w:styleId="FootnoteReference">
    <w:name w:val="footnote reference"/>
    <w:basedOn w:val="DefaultParagraphFont"/>
    <w:uiPriority w:val="99"/>
    <w:unhideWhenUsed/>
    <w:rsid w:val="003329D7"/>
    <w:rPr>
      <w:vertAlign w:val="superscript"/>
    </w:rPr>
  </w:style>
  <w:style w:type="character" w:customStyle="1" w:styleId="CommentTextChar">
    <w:name w:val="Comment Text Char"/>
    <w:basedOn w:val="DefaultParagraphFont"/>
    <w:link w:val="CommentText"/>
    <w:uiPriority w:val="99"/>
    <w:rsid w:val="00197247"/>
    <w:rPr>
      <w:rFonts w:eastAsiaTheme="minorHAnsi"/>
      <w:lang w:val="en-GB" w:eastAsia="en-US"/>
    </w:rPr>
  </w:style>
  <w:style w:type="paragraph" w:styleId="CommentText">
    <w:name w:val="annotation text"/>
    <w:basedOn w:val="Normal"/>
    <w:link w:val="CommentTextChar"/>
    <w:uiPriority w:val="99"/>
    <w:unhideWhenUsed/>
    <w:rsid w:val="00197247"/>
    <w:rPr>
      <w:rFonts w:eastAsiaTheme="minorHAnsi"/>
      <w:lang w:val="en-GB" w:eastAsia="en-US"/>
    </w:rPr>
  </w:style>
  <w:style w:type="character" w:customStyle="1" w:styleId="CommentSubjectChar">
    <w:name w:val="Comment Subject Char"/>
    <w:basedOn w:val="CommentTextChar"/>
    <w:link w:val="CommentSubject"/>
    <w:uiPriority w:val="99"/>
    <w:rsid w:val="00197247"/>
    <w:rPr>
      <w:rFonts w:eastAsiaTheme="minorHAnsi"/>
      <w:b/>
      <w:bCs/>
      <w:sz w:val="20"/>
      <w:szCs w:val="20"/>
      <w:lang w:val="en-GB" w:eastAsia="en-US"/>
    </w:rPr>
  </w:style>
  <w:style w:type="paragraph" w:styleId="CommentSubject">
    <w:name w:val="annotation subject"/>
    <w:basedOn w:val="CommentText"/>
    <w:next w:val="CommentText"/>
    <w:link w:val="CommentSubjectChar"/>
    <w:uiPriority w:val="99"/>
    <w:unhideWhenUsed/>
    <w:rsid w:val="00197247"/>
    <w:rPr>
      <w:b/>
      <w:bCs/>
      <w:sz w:val="20"/>
      <w:szCs w:val="20"/>
    </w:rPr>
  </w:style>
  <w:style w:type="character" w:styleId="CommentReference">
    <w:name w:val="annotation reference"/>
    <w:basedOn w:val="DefaultParagraphFont"/>
    <w:uiPriority w:val="99"/>
    <w:unhideWhenUsed/>
    <w:rsid w:val="00F00655"/>
    <w:rPr>
      <w:sz w:val="18"/>
      <w:szCs w:val="18"/>
    </w:rPr>
  </w:style>
  <w:style w:type="paragraph" w:styleId="BodyTextIndent">
    <w:name w:val="Body Text Indent"/>
    <w:basedOn w:val="Normal"/>
    <w:link w:val="BodyTextIndentChar"/>
    <w:uiPriority w:val="99"/>
    <w:unhideWhenUsed/>
    <w:rsid w:val="000447E8"/>
    <w:pPr>
      <w:spacing w:after="120"/>
      <w:ind w:left="283"/>
    </w:pPr>
    <w:rPr>
      <w:rFonts w:eastAsiaTheme="minorHAnsi"/>
      <w:lang w:val="en-GB" w:eastAsia="en-US"/>
    </w:rPr>
  </w:style>
  <w:style w:type="character" w:customStyle="1" w:styleId="BodyTextIndentChar">
    <w:name w:val="Body Text Indent Char"/>
    <w:basedOn w:val="DefaultParagraphFont"/>
    <w:link w:val="BodyTextIndent"/>
    <w:uiPriority w:val="99"/>
    <w:rsid w:val="000447E8"/>
    <w:rPr>
      <w:rFonts w:eastAsiaTheme="minorHAnsi"/>
      <w:lang w:val="en-GB" w:eastAsia="en-US"/>
    </w:rPr>
  </w:style>
  <w:style w:type="paragraph" w:styleId="ListParagraph">
    <w:name w:val="List Paragraph"/>
    <w:basedOn w:val="Normal"/>
    <w:uiPriority w:val="34"/>
    <w:qFormat/>
    <w:rsid w:val="000447E8"/>
    <w:pPr>
      <w:ind w:left="720"/>
      <w:contextualSpacing/>
    </w:pPr>
    <w:rPr>
      <w:rFonts w:eastAsiaTheme="minorHAnsi"/>
      <w:lang w:val="en-GB" w:eastAsia="en-US"/>
    </w:rPr>
  </w:style>
  <w:style w:type="character" w:styleId="Emphasis">
    <w:name w:val="Emphasis"/>
    <w:basedOn w:val="DefaultParagraphFont"/>
    <w:uiPriority w:val="20"/>
    <w:qFormat/>
    <w:rsid w:val="000447E8"/>
    <w:rPr>
      <w:i/>
      <w:iCs/>
    </w:rPr>
  </w:style>
  <w:style w:type="character" w:customStyle="1" w:styleId="Heading2Char">
    <w:name w:val="Heading 2 Char"/>
    <w:basedOn w:val="DefaultParagraphFont"/>
    <w:link w:val="Heading2"/>
    <w:rsid w:val="00F509CB"/>
    <w:rPr>
      <w:rFonts w:ascii="Verdana" w:eastAsia="Times" w:hAnsi="Verdana" w:cs="Times New Roman"/>
      <w:b/>
      <w:sz w:val="22"/>
      <w:szCs w:val="20"/>
      <w:lang w:val="en-GB" w:eastAsia="en-US"/>
    </w:rPr>
  </w:style>
  <w:style w:type="paragraph" w:styleId="BodyText2">
    <w:name w:val="Body Text 2"/>
    <w:basedOn w:val="Normal"/>
    <w:link w:val="BodyText2Char"/>
    <w:rsid w:val="00F509CB"/>
    <w:pPr>
      <w:spacing w:after="120" w:line="480" w:lineRule="auto"/>
    </w:pPr>
  </w:style>
  <w:style w:type="character" w:customStyle="1" w:styleId="BodyText2Char">
    <w:name w:val="Body Text 2 Char"/>
    <w:basedOn w:val="DefaultParagraphFont"/>
    <w:link w:val="BodyText2"/>
    <w:rsid w:val="00F509CB"/>
  </w:style>
  <w:style w:type="paragraph" w:customStyle="1" w:styleId="01Bodytext">
    <w:name w:val="01 Body text"/>
    <w:basedOn w:val="Normal"/>
    <w:rsid w:val="00F509CB"/>
    <w:pPr>
      <w:tabs>
        <w:tab w:val="left" w:pos="567"/>
        <w:tab w:val="right" w:pos="8647"/>
      </w:tabs>
      <w:spacing w:line="360" w:lineRule="exact"/>
    </w:pPr>
    <w:rPr>
      <w:rFonts w:ascii="News Gothic" w:eastAsia="Times" w:hAnsi="News Gothic" w:cs="Times New Roman"/>
      <w:sz w:val="20"/>
      <w:szCs w:val="20"/>
      <w:lang w:val="en-GB" w:eastAsia="en-US"/>
    </w:rPr>
  </w:style>
  <w:style w:type="character" w:styleId="Strong">
    <w:name w:val="Strong"/>
    <w:basedOn w:val="DefaultParagraphFont"/>
    <w:uiPriority w:val="22"/>
    <w:qFormat/>
    <w:rsid w:val="007E5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8349">
      <w:bodyDiv w:val="1"/>
      <w:marLeft w:val="0"/>
      <w:marRight w:val="0"/>
      <w:marTop w:val="0"/>
      <w:marBottom w:val="0"/>
      <w:divBdr>
        <w:top w:val="none" w:sz="0" w:space="0" w:color="auto"/>
        <w:left w:val="none" w:sz="0" w:space="0" w:color="auto"/>
        <w:bottom w:val="none" w:sz="0" w:space="0" w:color="auto"/>
        <w:right w:val="none" w:sz="0" w:space="0" w:color="auto"/>
      </w:divBdr>
    </w:div>
    <w:div w:id="1784881905">
      <w:bodyDiv w:val="1"/>
      <w:marLeft w:val="0"/>
      <w:marRight w:val="0"/>
      <w:marTop w:val="0"/>
      <w:marBottom w:val="0"/>
      <w:divBdr>
        <w:top w:val="none" w:sz="0" w:space="0" w:color="auto"/>
        <w:left w:val="none" w:sz="0" w:space="0" w:color="auto"/>
        <w:bottom w:val="none" w:sz="0" w:space="0" w:color="auto"/>
        <w:right w:val="none" w:sz="0" w:space="0" w:color="auto"/>
      </w:divBdr>
      <w:divsChild>
        <w:div w:id="759179417">
          <w:marLeft w:val="547"/>
          <w:marRight w:val="0"/>
          <w:marTop w:val="134"/>
          <w:marBottom w:val="0"/>
          <w:divBdr>
            <w:top w:val="none" w:sz="0" w:space="0" w:color="auto"/>
            <w:left w:val="none" w:sz="0" w:space="0" w:color="auto"/>
            <w:bottom w:val="none" w:sz="0" w:space="0" w:color="auto"/>
            <w:right w:val="none" w:sz="0" w:space="0" w:color="auto"/>
          </w:divBdr>
        </w:div>
        <w:div w:id="142483459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Moscow" TargetMode="External"/><Relationship Id="rId12" Type="http://schemas.openxmlformats.org/officeDocument/2006/relationships/hyperlink" Target="http://en.wikipedia.org/wiki/Unit%C3%A9_d%27Habitatio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Moscow" TargetMode="External"/><Relationship Id="rId8" Type="http://schemas.openxmlformats.org/officeDocument/2006/relationships/hyperlink" Target="http://en.wikipedia.org/wiki/Moscow" TargetMode="External"/><Relationship Id="rId9" Type="http://schemas.openxmlformats.org/officeDocument/2006/relationships/hyperlink" Target="http://en.wikipedia.org/wiki/Moisei_Ginzburg" TargetMode="External"/><Relationship Id="rId10" Type="http://schemas.openxmlformats.org/officeDocument/2006/relationships/hyperlink" Target="http://en.wikipedia.org/wiki/Unit%C3%A9_d%27Habitation"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e-noosphere.com/Noosphere/En/Magazine/Default.asp?File=20080108_Berkovich.htm" TargetMode="External"/><Relationship Id="rId2" Type="http://schemas.openxmlformats.org/officeDocument/2006/relationships/hyperlink" Target="http://www.wsws.org/articles/2010/nov2010/pare-n1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2319</Words>
  <Characters>13222</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Camberwell College of Arts</Company>
  <LinksUpToDate>false</LinksUpToDate>
  <CharactersWithSpaces>15510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Cross</dc:creator>
  <cp:keywords/>
  <cp:lastModifiedBy>andreasabbadini@outlook.com</cp:lastModifiedBy>
  <cp:revision>5</cp:revision>
  <cp:lastPrinted>2011-04-15T10:59:00Z</cp:lastPrinted>
  <dcterms:created xsi:type="dcterms:W3CDTF">2017-11-01T18:51:00Z</dcterms:created>
  <dcterms:modified xsi:type="dcterms:W3CDTF">2017-11-06T23:51:00Z</dcterms:modified>
</cp:coreProperties>
</file>